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/>
      </w:pPr>
      <w:r>
        <w:rPr/>
        <w:t xml:space="preserve">Одновременно с оформлением кредита на покупку или строительство жилья родители могут подать заявление об оплате материнским капиталом первоначального взноса, процентов или основного долга по такому кредиту. Таким образом, вместо двух обращений – в банк и Пенсионный фонд – семье достаточно обратиться только в банк. 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1017270</wp:posOffset>
            </wp:positionH>
            <wp:positionV relativeFrom="paragraph">
              <wp:posOffset>480695</wp:posOffset>
            </wp:positionV>
            <wp:extent cx="3587115" cy="3582035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2020-08-17T16:05:38Z</dcterms:modified>
  <cp:revision>1</cp:revision>
</cp:coreProperties>
</file>