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548DD4" w:themeColor="text2" w:themeTint="99"/>
        </w:rPr>
      </w:pPr>
      <w:r>
        <w:rPr/>
        <w:drawing>
          <wp:inline distT="0" distB="0" distL="19050" distR="0">
            <wp:extent cx="1943100" cy="12192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5060" t="14631" r="40996" b="31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0070C0"/>
          <w:sz w:val="36"/>
          <w:szCs w:val="36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ПЕНСИОННЫЙ ФОНД 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0070C0"/>
          <w:sz w:val="36"/>
          <w:szCs w:val="36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>БЕЗ ВИЗИТА В ПФР</w:t>
      </w:r>
    </w:p>
    <w:p>
      <w:pPr>
        <w:pStyle w:val="Normal"/>
        <w:spacing w:lineRule="auto" w:line="240"/>
        <w:jc w:val="center"/>
        <w:rPr>
          <w:rFonts w:ascii="Cambria" w:hAnsi="Cambria" w:asciiTheme="majorHAnsi" w:hAnsiTheme="majorHAnsi"/>
          <w:b/>
          <w:b/>
          <w:color w:val="FF0000"/>
          <w:sz w:val="36"/>
          <w:szCs w:val="36"/>
        </w:rPr>
      </w:pPr>
      <w:r>
        <w:rPr>
          <w:rFonts w:ascii="Cambria" w:hAnsi="Cambria" w:asciiTheme="majorHAnsi" w:hAnsiTheme="majorHAnsi"/>
          <w:b/>
          <w:color w:val="FF0000"/>
          <w:sz w:val="36"/>
          <w:szCs w:val="36"/>
        </w:rPr>
        <w:t>для работающих граждан!</w:t>
      </w:r>
    </w:p>
    <w:p>
      <w:pPr>
        <w:pStyle w:val="Normal"/>
        <w:spacing w:lineRule="auto" w:line="240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36"/>
          <w:szCs w:val="36"/>
        </w:rPr>
        <w:t xml:space="preserve">Электронные сервисы на сайте ПФР - </w:t>
      </w:r>
      <w:r>
        <w:rPr>
          <w:rFonts w:ascii="Cambria" w:hAnsi="Cambria" w:asciiTheme="majorHAnsi" w:hAnsiTheme="majorHAnsi"/>
          <w:sz w:val="28"/>
          <w:szCs w:val="28"/>
        </w:rPr>
        <w:t>удобный способ получать государственные услуги без очереди, назначить пенсию и социальные выплаты, распорядиться материнским капиталом, управлять накопительной частью пенсии.</w:t>
      </w:r>
    </w:p>
    <w:p>
      <w:pPr>
        <w:pStyle w:val="Normal"/>
        <w:jc w:val="both"/>
        <w:rPr>
          <w:rFonts w:ascii="Cambria" w:hAnsi="Cambria" w:asciiTheme="majorHAnsi" w:hAnsiTheme="majorHAnsi"/>
          <w:color w:val="FF0000"/>
          <w:sz w:val="28"/>
          <w:szCs w:val="28"/>
        </w:rPr>
      </w:pPr>
      <w:r>
        <w:rPr>
          <w:rFonts w:ascii="Cambria" w:hAnsi="Cambria" w:asciiTheme="majorHAnsi" w:hAnsiTheme="majorHAnsi"/>
          <w:b/>
          <w:color w:val="FF0000"/>
          <w:sz w:val="28"/>
          <w:szCs w:val="28"/>
        </w:rPr>
        <w:t>На сайте ВЫ можете</w:t>
      </w:r>
      <w:r>
        <w:rPr>
          <w:rFonts w:ascii="Cambria" w:hAnsi="Cambria" w:asciiTheme="majorHAnsi" w:hAnsiTheme="majorHAnsi"/>
          <w:color w:val="FF0000"/>
          <w:sz w:val="28"/>
          <w:szCs w:val="28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Узнать размер пенсионных баллов и стажа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Рассчитать будущую пенсию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Контролировать отчисления работодателя на пенсию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Назначить ежемесячную денежную выплату (ЕДВ)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Распорядится набором социальных услуг (НСУ)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Назначить пенсию и выбрать способ её доставки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Заказать справки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Распорядится средствами МСК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Получить справку о размере материнского капитала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Записаться на прием в Пенсионный фонд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 xml:space="preserve">Написать обращение в Пенсионный фонд 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="Cambria" w:hAnsi="Cambria" w:asciiTheme="majorHAnsi" w:hAnsiTheme="majorHAnsi"/>
          <w:sz w:val="28"/>
          <w:szCs w:val="28"/>
        </w:rPr>
        <w:t>Перевести свои пенсионные накопления в другой фонд*</w:t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28"/>
          <w:szCs w:val="28"/>
        </w:rPr>
      </w:pPr>
      <w:r>
        <w:rPr>
          <w:rFonts w:asciiTheme="majorHAnsi" w:hAnsiTheme="majorHAnsi" w:ascii="Cambria" w:hAnsi="Cambria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Cambria" w:hAnsi="Cambria" w:asciiTheme="majorHAnsi" w:hAnsiTheme="majorHAnsi"/>
          <w:i/>
          <w:i/>
        </w:rPr>
      </w:pPr>
      <w:r>
        <w:rPr>
          <w:rFonts w:ascii="Cambria" w:hAnsi="Cambria" w:asciiTheme="majorHAnsi" w:hAnsiTheme="majorHAnsi"/>
          <w:sz w:val="28"/>
          <w:szCs w:val="28"/>
        </w:rPr>
        <w:t>*</w:t>
      </w:r>
      <w:r>
        <w:rPr>
          <w:rFonts w:ascii="Cambria" w:hAnsi="Cambria" w:asciiTheme="majorHAnsi" w:hAnsiTheme="majorHAnsi"/>
          <w:i/>
        </w:rPr>
        <w:t>При наличии электронно-цифровой подписи физического лица</w:t>
      </w:r>
    </w:p>
    <w:p>
      <w:pPr>
        <w:pStyle w:val="ListParagraph"/>
        <w:ind w:left="360" w:hanging="0"/>
        <w:jc w:val="center"/>
        <w:rPr>
          <w:rFonts w:ascii="Cambria" w:hAnsi="Cambria" w:asciiTheme="majorHAnsi" w:hAnsiTheme="majorHAnsi"/>
          <w:b/>
          <w:b/>
          <w:color w:val="0070C0"/>
          <w:sz w:val="28"/>
          <w:szCs w:val="28"/>
        </w:rPr>
      </w:pPr>
      <w:r>
        <w:rPr/>
        <w:drawing>
          <wp:inline distT="0" distB="0" distL="19050" distR="9525">
            <wp:extent cx="1571625" cy="1085850"/>
            <wp:effectExtent l="0" t="0" r="0" b="0"/>
            <wp:docPr id="2" name="Рисунок 16" descr="https://xn--d1abacdeqluciba1a2o.xn--80acgfbsl1azdqr.xn--p1ai/media/news/news_75386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 descr="https://xn--d1abacdeqluciba1a2o.xn--80acgfbsl1azdqr.xn--p1ai/media/news/news_75386_image_900x_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КАК ПОЛУЧИТЬ ДОСТУП К ЛИЧНОМУ КАБИНЕТУ НА САЙТЕ ПФР: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Зайти и зарегистрироваться на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gosuslugi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.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Внесите паспортные данные и СНИЛС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Подтвердите учетную запись в ближайшем МФЦ или ПФР , ряд кредитных учреждений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>Пользуйтесь госуслугами</w:t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Чтобы получить доступ услугам ПФР используйте Ваш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логин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и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>пароль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для единой идентификации и аутентификации (ЕСИА) (пароль, полученный при регистрации на госуслугах)</w:t>
      </w:r>
    </w:p>
    <w:p>
      <w:pPr>
        <w:pStyle w:val="ListParagraph"/>
        <w:jc w:val="both"/>
        <w:rPr>
          <w:rFonts w:ascii="Cambria" w:hAnsi="Cambria" w:asciiTheme="majorHAnsi" w:hAnsiTheme="majorHAnsi"/>
          <w:b/>
          <w:b/>
          <w:color w:val="0070C0"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Электронные сервисы ПФР доступны через мобильные приложения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IOS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 </w:t>
      </w:r>
      <w:r>
        <w:rPr>
          <w:rFonts w:ascii="Cambria" w:hAnsi="Cambria" w:asciiTheme="majorHAnsi" w:hAnsiTheme="majorHAnsi"/>
          <w:b/>
          <w:sz w:val="24"/>
          <w:szCs w:val="24"/>
        </w:rPr>
        <w:t>и</w:t>
      </w:r>
      <w:r>
        <w:rPr>
          <w:rFonts w:ascii="Cambria" w:hAnsi="Cambria"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color w:val="0070C0"/>
          <w:sz w:val="24"/>
          <w:szCs w:val="24"/>
          <w:lang w:val="en-US"/>
        </w:rPr>
        <w:t>Android</w:t>
      </w:r>
    </w:p>
    <w:p>
      <w:pPr>
        <w:pStyle w:val="Normal"/>
        <w:spacing w:lineRule="auto" w:line="240"/>
        <w:jc w:val="center"/>
        <w:rPr/>
      </w:pPr>
      <w:r>
        <w:rPr/>
      </w:r>
    </w:p>
    <w:sectPr>
      <w:type w:val="nextPage"/>
      <w:pgSz w:orient="landscape" w:w="16838" w:h="11906"/>
      <w:pgMar w:left="284" w:right="284" w:header="0" w:top="568" w:footer="0" w:bottom="851" w:gutter="0"/>
      <w:pgNumType w:fmt="decimal"/>
      <w:cols w:num="3" w:equalWidth="false" w:sep="false">
        <w:col w:w="5069" w:space="708"/>
        <w:col w:w="4715" w:space="708"/>
        <w:col w:w="5069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28"/>
        <w:color w:val="0070C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3b8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760c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70C0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60c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0f0"/>
    <w:pPr>
      <w:spacing w:before="0" w:after="200"/>
      <w:ind w:left="720" w:hanging="0"/>
      <w:contextualSpacing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2020-10-14T09:23:00Z</dcterms:created>
  <dc:creator>011RyabovaOV</dc:creator>
  <dc:language>ru-RU</dc:language>
  <cp:lastModifiedBy>011RyabovaOV</cp:lastModifiedBy>
  <dcterms:modified xsi:type="dcterms:W3CDTF">2020-10-16T13:17:00Z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