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ВОПРОС: </w:t>
      </w:r>
      <w:bookmarkStart w:id="0" w:name="__DdeLink__245_703982720"/>
      <w:bookmarkEnd w:id="0"/>
      <w:r>
        <w:rPr/>
        <w:t>Что делать, если работодатель указал неправильную информацию в электронной трудовой книжке?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ОТВЕТ: В этом случае работнику следует обратиться с письменным заявлением к работодателю, который обязан исправить или дополнить сведения о трудовой деятельности и представить их в Пенсионный фонд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Правовое обоснование</w:t>
      </w:r>
    </w:p>
    <w:p>
      <w:pPr>
        <w:pStyle w:val="Normal"/>
        <w:jc w:val="both"/>
        <w:rPr/>
      </w:pPr>
      <w:r>
        <w:rPr/>
        <w:t xml:space="preserve">Согласно ч. 6 ст. 66.1 ТК РФ 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7987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2021-03-31T10:18:06Z</dcterms:created>
  <dc:language>ru-RU</dc:language>
  <dcterms:modified xsi:type="dcterms:W3CDTF">2021-03-31T10:22:26Z</dcterms:modified>
  <cp:revision>1</cp:revision>
</cp:coreProperties>
</file>