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rFonts w:ascii="Times New Roman" w:hAnsi="Times New Roman"/>
          <w:i w:val="false"/>
          <w:iCs w:val="false"/>
          <w:sz w:val="24"/>
          <w:szCs w:val="24"/>
        </w:rPr>
        <w:t>Какие факторы не влияют на выплату пенсии по потере кормильца</w:t>
      </w:r>
    </w:p>
    <w:p>
      <w:pPr>
        <w:pStyle w:val="1"/>
        <w:jc w:val="center"/>
        <w:rPr>
          <w:rStyle w:val="Style11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Style14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Академический отпуск, замужество и рождение ребенка не являются причинами для прекращения выплаты пенсии по случаю потери кормильца. Право на пенсию сохраняется до 23 лет при условии очного обучения и не зависит от личных изменений в жизни.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— академический отпуск в связи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Супруга умершего кормильца, получающая пенсию на себя или на несовершеннолетнего ребенка, не потеряет право на выплату при вступлении в новый брак. Но, находясь в браке, она утратит право на повторное назначение пенсии после прекращения выплаты (например, если после замужества последовало трудоустройство, пенсию отменят. После окончания трудовой деятельности пенсию уже не назначат, так как женщина состоит в новом браке).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право на пенсию по потере кормильца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>
      <w:pPr>
        <w:pStyle w:val="Style14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2021-03-01T16:17:44Z</dcterms:modified>
  <cp:revision>1</cp:revision>
</cp:coreProperties>
</file>