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before="0" w:after="0"/>
        <w:ind w:left="0" w:right="0" w:hanging="0"/>
        <w:jc w:val="center"/>
        <w:rPr>
          <w:rFonts w:ascii="Liberation Sans" w:hAnsi="Liberation Sans"/>
        </w:rPr>
      </w:pPr>
      <w:r>
        <w:rPr/>
        <w:t>Как направить материнский капитал на социальную адаптацию и интеграцию в общество детей-инвалидов</w:t>
      </w:r>
    </w:p>
    <w:p>
      <w:pPr>
        <w:pStyle w:val="Style12"/>
        <w:spacing w:before="0" w:after="0"/>
        <w:ind w:left="0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48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Средства материнского капитала или часть его средств могут быть направлены на приобретение товаров и услуг для социальной адаптации и интеграции в общество детей-инвалидов, посредством компенсации затрат на приобретение таких товаров и услуг.</w:t>
      </w:r>
    </w:p>
    <w:p>
      <w:pPr>
        <w:pStyle w:val="Style12"/>
        <w:spacing w:lineRule="auto" w:line="48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Средства можно направить как на родного ребенка-инвалида, так и на усыновленного, в том числе первого, второго, третьего ребенка-инвалида или последующих детей-инвалидов в любое время после рождения или усыновления ребенка, с рождением или усыновлением которого возникло право на получение сертификата.</w:t>
      </w:r>
    </w:p>
    <w:p>
      <w:pPr>
        <w:pStyle w:val="Style12"/>
        <w:spacing w:lineRule="auto" w:line="48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Style12"/>
        <w:spacing w:lineRule="auto" w:line="480" w:before="0" w:after="0"/>
        <w:ind w:left="0" w:right="0" w:hanging="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192905" cy="4025265"/>
            <wp:effectExtent l="0" t="0" r="0" b="0"/>
            <wp:wrapSquare wrapText="largest"/>
            <wp:docPr id="1" name="Изображение3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905" cy="402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2020-08-14T12:00:54Z</dcterms:modified>
  <cp:revision>1</cp:revision>
</cp:coreProperties>
</file>