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jc w:val="both"/>
        <w:rPr>
          <w:b w:val="false"/>
          <w:b w:val="false"/>
          <w:bCs w:val="false"/>
        </w:rPr>
      </w:pPr>
      <w:bookmarkStart w:id="0" w:name="__DdeLink__906_138609044"/>
      <w:bookmarkEnd w:id="0"/>
      <w:r>
        <w:rPr>
          <w:b w:val="false"/>
          <w:bCs w:val="false"/>
        </w:rPr>
        <w:t>При назначении двух выплат по линии ПФР оценивается нуждаемость семьи</w:t>
      </w:r>
    </w:p>
    <w:p>
      <w:pPr>
        <w:pStyle w:val="Style15"/>
        <w:jc w:val="both"/>
        <w:rPr>
          <w:b w:val="false"/>
          <w:b w:val="false"/>
          <w:bCs w:val="false"/>
        </w:rPr>
      </w:pPr>
      <w:r>
        <w:rPr>
          <w:b w:val="false"/>
          <w:bCs w:val="false"/>
        </w:rPr>
        <w:t>1 июля специалисты ПФР начали прием заявлений на ежемесячное пособие для женщин, вставших на учет в ранние сроки беременности (до 12 недель) и на выплату родителям, которые в одиночку воспитывают детей от 8 до 16 лет включительно. Выплаты предусмотрены для семей, оказавшихся в трудной жизненной ситуации, поэтому главным условием для их назначения является невысокий доход. 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pPr>
        <w:pStyle w:val="Style15"/>
        <w:jc w:val="both"/>
        <w:rPr/>
      </w:pPr>
      <w:r>
        <w:rPr>
          <w:rStyle w:val="Style12"/>
        </w:rPr>
        <w:t>В доходе семьи учитываются следующие выплаты:</w:t>
      </w:r>
    </w:p>
    <w:p>
      <w:pPr>
        <w:pStyle w:val="Style15"/>
        <w:numPr>
          <w:ilvl w:val="0"/>
          <w:numId w:val="2"/>
        </w:numPr>
        <w:tabs>
          <w:tab w:val="left" w:pos="0" w:leader="none"/>
        </w:tabs>
        <w:spacing w:before="0" w:after="0"/>
        <w:ind w:left="707" w:hanging="283"/>
        <w:jc w:val="both"/>
        <w:rPr/>
      </w:pPr>
      <w:r>
        <w:rPr/>
        <w:t xml:space="preserve">доходы от трудовой деятельности (зарплаты, премии, авторские гонорары и пр.) и доходы от предпринимательской деятельности, включая доходы самозанятых; </w:t>
      </w:r>
    </w:p>
    <w:p>
      <w:pPr>
        <w:pStyle w:val="Style15"/>
        <w:numPr>
          <w:ilvl w:val="0"/>
          <w:numId w:val="2"/>
        </w:numPr>
        <w:tabs>
          <w:tab w:val="left" w:pos="0" w:leader="none"/>
        </w:tabs>
        <w:spacing w:before="0" w:after="0"/>
        <w:ind w:left="707" w:hanging="283"/>
        <w:jc w:val="both"/>
        <w:rPr/>
      </w:pPr>
      <w:r>
        <w:rPr/>
        <w:t xml:space="preserve">пенсии, пособия, стипендии, алименты, выплаты пенсионных накоплений правопреемникам, страховые выплаты; </w:t>
      </w:r>
    </w:p>
    <w:p>
      <w:pPr>
        <w:pStyle w:val="Style15"/>
        <w:numPr>
          <w:ilvl w:val="0"/>
          <w:numId w:val="2"/>
        </w:numPr>
        <w:tabs>
          <w:tab w:val="left" w:pos="0" w:leader="none"/>
        </w:tabs>
        <w:spacing w:before="0" w:after="0"/>
        <w:ind w:left="707" w:hanging="283"/>
        <w:jc w:val="both"/>
        <w:rPr/>
      </w:pPr>
      <w:r>
        <w:rPr/>
        <w:t xml:space="preserve">денежное довольствие военнослужащих, сотрудников силовых ведомств и компенсации за исполнение государственных или общественных обязанностей; </w:t>
      </w:r>
    </w:p>
    <w:p>
      <w:pPr>
        <w:pStyle w:val="Style15"/>
        <w:numPr>
          <w:ilvl w:val="0"/>
          <w:numId w:val="2"/>
        </w:numPr>
        <w:tabs>
          <w:tab w:val="left" w:pos="0" w:leader="none"/>
        </w:tabs>
        <w:spacing w:before="0" w:after="0"/>
        <w:ind w:left="707" w:hanging="283"/>
        <w:jc w:val="both"/>
        <w:rPr/>
      </w:pPr>
      <w:r>
        <w:rPr/>
        <w:t xml:space="preserve">доходы от ценных бумаг и доходы от продажи и сдачи в аренду имущества; </w:t>
      </w:r>
    </w:p>
    <w:p>
      <w:pPr>
        <w:pStyle w:val="Style15"/>
        <w:numPr>
          <w:ilvl w:val="0"/>
          <w:numId w:val="2"/>
        </w:numPr>
        <w:tabs>
          <w:tab w:val="left" w:pos="0" w:leader="none"/>
        </w:tabs>
        <w:spacing w:before="0" w:after="0"/>
        <w:ind w:left="707" w:hanging="283"/>
        <w:jc w:val="both"/>
        <w:rPr/>
      </w:pPr>
      <w:r>
        <w:rPr/>
        <w:t xml:space="preserve">доходы от специального налогового режима «Налог на профессиональный доход» и проценты по вкладам; </w:t>
      </w:r>
    </w:p>
    <w:p>
      <w:pPr>
        <w:pStyle w:val="Style15"/>
        <w:numPr>
          <w:ilvl w:val="0"/>
          <w:numId w:val="2"/>
        </w:numPr>
        <w:tabs>
          <w:tab w:val="left" w:pos="0" w:leader="none"/>
        </w:tabs>
        <w:spacing w:before="0" w:after="0"/>
        <w:ind w:left="707" w:hanging="283"/>
        <w:jc w:val="both"/>
        <w:rPr/>
      </w:pPr>
      <w:r>
        <w:rPr/>
        <w:t xml:space="preserve">содержание судей; </w:t>
      </w:r>
    </w:p>
    <w:p>
      <w:pPr>
        <w:pStyle w:val="Style15"/>
        <w:numPr>
          <w:ilvl w:val="0"/>
          <w:numId w:val="2"/>
        </w:numPr>
        <w:tabs>
          <w:tab w:val="left" w:pos="0" w:leader="none"/>
        </w:tabs>
        <w:ind w:left="707" w:hanging="283"/>
        <w:jc w:val="both"/>
        <w:rPr/>
      </w:pPr>
      <w:r>
        <w:rPr/>
        <w:t xml:space="preserve">доходы, полученные за пределами РФ. </w:t>
      </w:r>
    </w:p>
    <w:p>
      <w:pPr>
        <w:pStyle w:val="Style15"/>
        <w:jc w:val="both"/>
        <w:rPr/>
      </w:pPr>
      <w:r>
        <w:rPr>
          <w:rStyle w:val="Style12"/>
        </w:rPr>
        <w:t xml:space="preserve">При назначении выплат </w:t>
      </w:r>
      <w:hyperlink r:id="rId2">
        <w:r>
          <w:rPr>
            <w:rStyle w:val="Style12"/>
          </w:rPr>
          <w:t>не учитываются</w:t>
        </w:r>
      </w:hyperlink>
      <w:r>
        <w:rPr>
          <w:rStyle w:val="Style12"/>
        </w:rPr>
        <w:t xml:space="preserve"> следующие доходы:</w:t>
      </w:r>
    </w:p>
    <w:p>
      <w:pPr>
        <w:pStyle w:val="Style15"/>
        <w:numPr>
          <w:ilvl w:val="0"/>
          <w:numId w:val="3"/>
        </w:numPr>
        <w:tabs>
          <w:tab w:val="left" w:pos="0" w:leader="none"/>
        </w:tabs>
        <w:spacing w:before="0" w:after="0"/>
        <w:ind w:left="707" w:hanging="283"/>
        <w:jc w:val="both"/>
        <w:rPr/>
      </w:pPr>
      <w:r>
        <w:rPr/>
        <w:t xml:space="preserve">выплаты на детей от 3 до 7 лет, которые были получены в прошлые периоды на этого ребенка (для выплаты одиноким родителям); </w:t>
      </w:r>
    </w:p>
    <w:p>
      <w:pPr>
        <w:pStyle w:val="Style15"/>
        <w:numPr>
          <w:ilvl w:val="0"/>
          <w:numId w:val="3"/>
        </w:numPr>
        <w:tabs>
          <w:tab w:val="left" w:pos="0" w:leader="none"/>
        </w:tabs>
        <w:spacing w:before="0" w:after="0"/>
        <w:ind w:left="707" w:hanging="283"/>
        <w:jc w:val="both"/>
        <w:rPr/>
      </w:pPr>
      <w:r>
        <w:rPr/>
        <w:t xml:space="preserve">выплаты на детей от 8 до 16 лет, которые будут получены в предыдущие периоды на этого ребенка (для выплаты одиноким родителям); </w:t>
      </w:r>
    </w:p>
    <w:p>
      <w:pPr>
        <w:pStyle w:val="Style15"/>
        <w:numPr>
          <w:ilvl w:val="0"/>
          <w:numId w:val="3"/>
        </w:numPr>
        <w:tabs>
          <w:tab w:val="left" w:pos="0" w:leader="none"/>
        </w:tabs>
        <w:spacing w:before="0" w:after="0"/>
        <w:ind w:left="707" w:hanging="283"/>
        <w:jc w:val="both"/>
        <w:rPr/>
      </w:pPr>
      <w:r>
        <w:rPr/>
        <w:t xml:space="preserve">единовременная материальная помощь, страховые выплаты и средства, предоставленные в рамках социального контракта; </w:t>
      </w:r>
    </w:p>
    <w:p>
      <w:pPr>
        <w:pStyle w:val="Style15"/>
        <w:numPr>
          <w:ilvl w:val="0"/>
          <w:numId w:val="3"/>
        </w:numPr>
        <w:tabs>
          <w:tab w:val="left" w:pos="0" w:leader="none"/>
        </w:tabs>
        <w:spacing w:before="0" w:after="0"/>
        <w:ind w:left="707" w:hanging="283"/>
        <w:jc w:val="both"/>
        <w:rPr/>
      </w:pPr>
      <w:r>
        <w:rPr/>
        <w:t xml:space="preserve">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РФ); </w:t>
      </w:r>
    </w:p>
    <w:p>
      <w:pPr>
        <w:pStyle w:val="Style15"/>
        <w:numPr>
          <w:ilvl w:val="0"/>
          <w:numId w:val="3"/>
        </w:numPr>
        <w:tabs>
          <w:tab w:val="left" w:pos="0" w:leader="none"/>
        </w:tabs>
        <w:spacing w:before="0" w:after="140"/>
        <w:ind w:left="707" w:hanging="283"/>
        <w:jc w:val="both"/>
        <w:rPr/>
      </w:pPr>
      <w:r>
        <w:rPr/>
        <w:t xml:space="preserve">ежемесячные выплаты неработающим трудоспособным людям, ухаживающим за ребенком-инвалидом в возрасте до 18 лет или инвалидом с детства I группы.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4"/>
    <w:next w:val="Style15"/>
    <w:pPr>
      <w:numPr>
        <w:ilvl w:val="0"/>
        <w:numId w:val="1"/>
      </w:numPr>
      <w:spacing w:before="240" w:after="120"/>
      <w:outlineLvl w:val="0"/>
      <w:outlineLvl w:val="0"/>
    </w:pPr>
    <w:rPr>
      <w:b/>
      <w:bCs/>
      <w:sz w:val="36"/>
      <w:szCs w:val="36"/>
    </w:rPr>
  </w:style>
  <w:style w:type="paragraph" w:styleId="2">
    <w:name w:val="Заголовок 2"/>
    <w:basedOn w:val="Style14"/>
    <w:next w:val="Style15"/>
    <w:pPr>
      <w:numPr>
        <w:ilvl w:val="1"/>
        <w:numId w:val="1"/>
      </w:numPr>
      <w:spacing w:before="200" w:after="120"/>
      <w:outlineLvl w:val="1"/>
      <w:outlineLvl w:val="1"/>
    </w:pPr>
    <w:rPr>
      <w:b/>
      <w:bCs/>
      <w:sz w:val="32"/>
      <w:szCs w:val="32"/>
    </w:rPr>
  </w:style>
  <w:style w:type="paragraph" w:styleId="3">
    <w:name w:val="Заголовок 3"/>
    <w:basedOn w:val="Style14"/>
    <w:next w:val="Style15"/>
    <w:pPr>
      <w:numPr>
        <w:ilvl w:val="2"/>
        <w:numId w:val="1"/>
      </w:numPr>
      <w:spacing w:before="140" w:after="120"/>
      <w:outlineLvl w:val="2"/>
      <w:outlineLvl w:val="2"/>
    </w:pPr>
    <w:rPr>
      <w:b/>
      <w:bCs/>
      <w:sz w:val="28"/>
      <w:szCs w:val="28"/>
    </w:rPr>
  </w:style>
  <w:style w:type="character" w:styleId="Style11">
    <w:name w:val="Маркеры списка"/>
    <w:qFormat/>
    <w:rPr>
      <w:rFonts w:ascii="OpenSymbol" w:hAnsi="OpenSymbol" w:eastAsia="OpenSymbol" w:cs="OpenSymbol"/>
    </w:rPr>
  </w:style>
  <w:style w:type="character" w:styleId="Style12">
    <w:name w:val="Выделение жирным"/>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Блочная цитата"/>
    <w:basedOn w:val="Normal"/>
    <w:qFormat/>
    <w:pPr>
      <w:spacing w:before="0" w:after="283"/>
      <w:ind w:left="567" w:right="567" w:hanging="0"/>
    </w:pPr>
    <w:rPr/>
  </w:style>
  <w:style w:type="paragraph" w:styleId="Style20">
    <w:name w:val="Заглавие"/>
    <w:basedOn w:val="Style14"/>
    <w:next w:val="Style15"/>
    <w:pPr>
      <w:jc w:val="center"/>
    </w:pPr>
    <w:rPr>
      <w:b/>
      <w:bCs/>
      <w:sz w:val="56"/>
      <w:szCs w:val="56"/>
    </w:rPr>
  </w:style>
  <w:style w:type="paragraph" w:styleId="Style21">
    <w:name w:val="Подзаголовок"/>
    <w:basedOn w:val="Style14"/>
    <w:next w:val="Style15"/>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fr.gov.ru/grazhdanam/singles_family_with_children~805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2021-08-27T16:33:28Z</dcterms:created>
  <dc:language>ru-RU</dc:language>
  <dcterms:modified xsi:type="dcterms:W3CDTF">2021-08-27T16:33:48Z</dcterms:modified>
  <cp:revision>1</cp:revision>
</cp:coreProperties>
</file>