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/>
      </w:pPr>
      <w:bookmarkStart w:id="0" w:name="__DdeLink__286_996337576"/>
      <w:bookmarkEnd w:id="0"/>
      <w:r>
        <w:rPr/>
        <w:t>Программа софинансирования продолжает действовать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Программы государственного софинансирования формирования пенсионных накоплений до конца года могут внести дополнительные страховые взносы на свою накопительную пенсию. 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в последний раз софинансирование получили участники, которые вступили в Программу и внесли первый взнос в 2011-м, но они по-прежнему могут производить уплату дополнительных страховых взносов на накопительную пенсию, тем самым увеличивая ее, но уже без участия государства.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Программа государственного софинансирования действует в нашей стране 12 лет (с 2009 года). Напомним, софинансированию со стороны государства подлежат добровольные  взносы от 2-х до 12-ти тысяч рублей в год. Эти средства учитываются на лицевых счетах граждан и передаются в управляющие компании и негосударственные пенсионные фонды для дальнейшего инвестирования.</w:t>
      </w:r>
    </w:p>
    <w:p>
      <w:pPr>
        <w:pStyle w:val="Style12"/>
        <w:jc w:val="both"/>
        <w:rPr>
          <w:sz w:val="28"/>
          <w:szCs w:val="28"/>
        </w:rPr>
      </w:pPr>
      <w:r>
        <w:rPr>
          <w:sz w:val="28"/>
          <w:szCs w:val="28"/>
        </w:rPr>
        <w:t>Средства, сформированные в рамках Программы, входят в общую сумму пенсионных накоплений гражданина, инвестируются с целью получения дохода и выплачиваются при достижении 55 и 60 лет женщинам и мужчинам соответственно (при наличии необходимого стажа и количества пенсионных коэффициентов). На сформированные накопления распространяются правила правопреемства. В случае смерти гражданина все средства передаются его правопреемникам, которых он при жизни определил сам или правопреемникам по закону.</w:t>
      </w:r>
    </w:p>
    <w:p>
      <w:pPr>
        <w:pStyle w:val="Style12"/>
        <w:spacing w:before="0" w:after="140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о Программе государственного софинансирования можно найти на сайте ПФР: https://pfr.gov.ru/grazhdanam/pensions/dopolnit_vznosy 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2021-07-06T16:38:11Z</dcterms:created>
  <dc:language>ru-RU</dc:language>
  <dcterms:modified xsi:type="dcterms:W3CDTF">2021-07-06T16:39:15Z</dcterms:modified>
  <cp:revision>1</cp:revision>
</cp:coreProperties>
</file>