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Отчетность о стаже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</w:t>
      </w:r>
      <w:r>
        <w:rPr>
          <w:rFonts w:ascii="Liberation Sans" w:hAnsi="Liberation Sans"/>
          <w:lang w:val="ru-RU"/>
        </w:rPr>
        <w:t>Краснослободском муниципальном районе РМ</w:t>
      </w:r>
      <w:r>
        <w:rPr>
          <w:rFonts w:ascii="Liberation Sans" w:hAnsi="Liberation Sans"/>
        </w:rPr>
        <w:t xml:space="preserve"> (межрайонное) напоминает, что ежегодно не позднее 1 марта года, следующего за отчетным годом, страхователи представляют о каждом работающем у него застрахованном лице сведения по форме СЗВ-СТАЖ.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Сведения о страховом стаже застрахованного лица за 2020 год необходимо представить не позднее 2-го марта 2021 года.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подготовки сведений о стаже можно воспользоваться программным обеспечением, размещенным на официальном сайте ПФР.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За непредставление в установленные законодательством об индивидуальном (персонифицированном) учёте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КоАП РФ в виде штрафа в размере от 300 до 500 рублей.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своевременного и качественного представления отчетности Управление настоятельно рекомендует подключиться к системе электронного документооборота.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72865" cy="389255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2020-12-16T16:49:56Z</dcterms:modified>
  <cp:revision>1</cp:revision>
</cp:coreProperties>
</file>