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70C0"/>
          <w:sz w:val="36"/>
          <w:szCs w:val="36"/>
        </w:rPr>
      </w:pPr>
      <w:r>
        <w:rPr/>
        <w:drawing>
          <wp:inline distT="0" distB="0" distL="0" distR="0">
            <wp:extent cx="1352550" cy="1166495"/>
            <wp:effectExtent l="0" t="0" r="0" b="0"/>
            <wp:docPr id="1" name="Рисунок 10" descr="http://ruzacbs.ru/sites/default/files/inline/images/bigstock-127014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http://ruzacbs.ru/sites/default/files/inline/images/bigstock-127014653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0070C0"/>
          <w:sz w:val="36"/>
          <w:szCs w:val="36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ПЕНСИОННЫЙ ФОНД 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0070C0"/>
          <w:sz w:val="36"/>
          <w:szCs w:val="36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>БЕЗ ВИЗИТА В ПФР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FF0000"/>
          <w:sz w:val="36"/>
          <w:szCs w:val="36"/>
        </w:rPr>
      </w:pPr>
      <w:r>
        <w:rPr>
          <w:rFonts w:ascii="Cambria" w:hAnsi="Cambria" w:asciiTheme="majorHAnsi" w:hAnsiTheme="majorHAnsi"/>
          <w:b/>
          <w:color w:val="FF0000"/>
          <w:sz w:val="36"/>
          <w:szCs w:val="36"/>
        </w:rPr>
        <w:t>Услуги для пенсионеров через Интернет.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FF0000"/>
          <w:sz w:val="36"/>
          <w:szCs w:val="36"/>
        </w:rPr>
      </w:pPr>
      <w:r>
        <w:rPr>
          <w:rFonts w:asciiTheme="majorHAnsi" w:hAnsiTheme="majorHAnsi" w:ascii="Cambria" w:hAnsi="Cambria"/>
          <w:b/>
          <w:color w:val="FF0000"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Электронные сервисы на сайте ПФР - </w:t>
      </w:r>
      <w:r>
        <w:rPr>
          <w:rFonts w:ascii="Cambria" w:hAnsi="Cambria" w:asciiTheme="majorHAnsi" w:hAnsiTheme="majorHAnsi"/>
          <w:sz w:val="28"/>
          <w:szCs w:val="28"/>
        </w:rPr>
        <w:t>удобный способ получать государственные услуги без очереди, контролировать выплату пенсии, изменять способ ее доставки и получать справочную информацию.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color w:val="0070C0"/>
          <w:sz w:val="28"/>
          <w:szCs w:val="28"/>
        </w:rPr>
      </w:pPr>
      <w:r>
        <w:rPr>
          <w:rFonts w:asciiTheme="majorHAnsi" w:hAnsiTheme="majorHAnsi" w:ascii="Cambria" w:hAnsi="Cambria"/>
          <w:b/>
          <w:color w:val="0070C0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color w:val="0070C0"/>
          <w:sz w:val="28"/>
          <w:szCs w:val="28"/>
        </w:rPr>
      </w:pPr>
      <w:r>
        <w:rPr>
          <w:rFonts w:asciiTheme="majorHAnsi" w:hAnsiTheme="majorHAnsi" w:ascii="Cambria" w:hAnsi="Cambria"/>
          <w:b/>
          <w:color w:val="0070C0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color w:val="0070C0"/>
          <w:sz w:val="28"/>
          <w:szCs w:val="28"/>
        </w:rPr>
      </w:pPr>
      <w:r>
        <w:rPr>
          <w:rFonts w:ascii="Cambria" w:hAnsi="Cambria" w:asciiTheme="majorHAnsi" w:hAnsiTheme="majorHAnsi"/>
          <w:b/>
          <w:color w:val="0070C0"/>
          <w:sz w:val="28"/>
          <w:szCs w:val="28"/>
        </w:rPr>
        <w:t>На сайте ВЫ можете</w:t>
      </w:r>
      <w:r>
        <w:rPr>
          <w:rFonts w:ascii="Cambria" w:hAnsi="Cambria" w:asciiTheme="majorHAnsi" w:hAnsiTheme="majorHAnsi"/>
          <w:color w:val="0070C0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Узнать какая пенсия и социальные выплаты назначены пенсионеру;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Изменить способ доставки и социальных выплат;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Получить справку о размере пенсии и социальных выплатах;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Перейти с одного вида пенсии на другой;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Назначить федеральную социальную доплату к пенсии (ФСД);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Назначить ежемесячную денежную выплату (ЕДВ);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Распорядится набором социальных услуг (НСУ);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Записаться на прием в Пенсионный фонд;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Написать обращение в Пенсионный фонд; </w:t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/>
        <w:drawing>
          <wp:inline distT="0" distB="0" distL="19050" distR="9525">
            <wp:extent cx="1571625" cy="1085850"/>
            <wp:effectExtent l="0" t="0" r="0" b="0"/>
            <wp:docPr id="2" name="Рисунок 16" descr="https://xn--d1abacdeqluciba1a2o.xn--80acgfbsl1azdqr.xn--p1ai/media/news/news_75386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https://xn--d1abacdeqluciba1a2o.xn--80acgfbsl1azdqr.xn--p1ai/media/news/news_75386_image_900x_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Theme="majorHAnsi" w:hAnsiTheme="majorHAnsi" w:ascii="Cambria" w:hAnsi="Cambria"/>
          <w:b/>
          <w:color w:val="0070C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КАК ПОЛУЧИТЬ ДОСТУП К ЛИЧНОМУ КАБИНЕТУ НА САЙТЕ ПФР:</w:t>
      </w:r>
    </w:p>
    <w:p>
      <w:pPr>
        <w:pStyle w:val="Normal"/>
        <w:spacing w:before="0" w:after="0"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Theme="majorHAnsi" w:hAnsiTheme="majorHAnsi" w:ascii="Cambria" w:hAnsi="Cambria"/>
          <w:b/>
          <w:color w:val="0070C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Зайти и зарегистрироваться на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gosuslugi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.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Внести паспортные данные и СНИЛС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Подтвердить учетную запись в ближайшем МФЦ или ПФР, ряде кредитных учреждений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Пользуйтесь госуслугами</w:t>
      </w:r>
    </w:p>
    <w:p>
      <w:pPr>
        <w:pStyle w:val="ListParagraph"/>
        <w:spacing w:before="0" w:after="0"/>
        <w:contextualSpacing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Чтобы получить доступ к услугам ПФР используйте Ваш логин и пароль для единой идентификации и аутентификации (ЕСИА) (т.е. пароль, полученный при регистрации на госуслугах)</w:t>
      </w:r>
    </w:p>
    <w:p>
      <w:pPr>
        <w:pStyle w:val="ListParagraph"/>
        <w:spacing w:before="0" w:after="0"/>
        <w:contextualSpacing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spacing w:before="0" w:after="200"/>
        <w:contextualSpacing/>
        <w:jc w:val="both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Электронные сервисы  доступны в бесплатном мобильном приложение ПФР (для телефонов  на базе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IOS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 </w:t>
      </w:r>
      <w:r>
        <w:rPr>
          <w:rFonts w:ascii="Cambria" w:hAnsi="Cambria" w:asciiTheme="majorHAnsi" w:hAnsiTheme="majorHAnsi"/>
          <w:b/>
          <w:sz w:val="24"/>
          <w:szCs w:val="24"/>
        </w:rPr>
        <w:t>и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Android</w:t>
      </w:r>
      <w:r>
        <w:rPr>
          <w:rFonts w:ascii="Cambria" w:hAnsi="Cambria" w:asciiTheme="majorHAnsi" w:hAnsiTheme="majorHAnsi"/>
          <w:b/>
          <w:sz w:val="24"/>
          <w:szCs w:val="24"/>
        </w:rPr>
        <w:t>)</w:t>
      </w:r>
    </w:p>
    <w:sectPr>
      <w:type w:val="nextPage"/>
      <w:pgSz w:orient="landscape" w:w="16838" w:h="11906"/>
      <w:pgMar w:left="709" w:right="1134" w:header="0" w:top="709" w:footer="0" w:bottom="851" w:gutter="0"/>
      <w:pgNumType w:fmt="decimal"/>
      <w:cols w:num="3" w:equalWidth="false" w:sep="false">
        <w:col w:w="4644" w:space="708"/>
        <w:col w:w="4290" w:space="708"/>
        <w:col w:w="464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8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37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4273c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70C0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73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a02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2020-10-16T12:41:00Z</dcterms:created>
  <dc:creator>011RyabovaOV</dc:creator>
  <dc:language>ru-RU</dc:language>
  <cp:lastModifiedBy>011RyabovaOV</cp:lastModifiedBy>
  <cp:lastPrinted>2020-10-16T12:40:00Z</cp:lastPrinted>
  <dcterms:modified xsi:type="dcterms:W3CDTF">2020-10-16T13:18:00Z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