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bookmarkStart w:id="0" w:name="__DdeLink__922_1016982913"/>
      <w:r>
        <w:rPr>
          <w:rFonts w:ascii="Times New Roman" w:hAnsi="Times New Roman"/>
          <w:sz w:val="24"/>
          <w:szCs w:val="24"/>
        </w:rPr>
        <w:t>Как получить пенсионные накопления правопреемникам</w:t>
      </w:r>
      <w:bookmarkEnd w:id="0"/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hyperlink r:id="rId2" w:tgtFrame="_blank">
        <w:r>
          <w:rPr>
            <w:rStyle w:val="Style11"/>
            <w:rFonts w:ascii="Times New Roman" w:hAnsi="Times New Roman"/>
            <w:sz w:val="24"/>
            <w:szCs w:val="24"/>
          </w:rPr>
          <w:t>https://pfr.gov.ru/grazhdanam/pensions/pens_nak/vipla..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Важно! Если правопреемник пропустил указанный срок, его можно восстановить только в судебном порядке.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693285" cy="4691380"/>
            <wp:effectExtent l="0" t="0" r="0" b="0"/>
            <wp:wrapSquare wrapText="largest"/>
            <wp:docPr id="1" name="Изображение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pfr.gov.ru%2Fgrazhdanam%2Fpensions%2Fpens_nak%2Fviplata_pens_nak_prav%2F&amp;post=-37475973_4545&amp;cc_key=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2021-02-12T15:47:29Z</dcterms:created>
  <dc:language>ru-RU</dc:language>
  <dcterms:modified xsi:type="dcterms:W3CDTF">2021-02-12T15:49:19Z</dcterms:modified>
  <cp:revision>1</cp:revision>
</cp:coreProperties>
</file>