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1"/>
        </w:numPr>
        <w:spacing w:before="140" w:after="120"/>
        <w:jc w:val="center"/>
        <w:rPr/>
      </w:pPr>
      <w:hyperlink r:id="rId2">
        <w:r>
          <w:rPr>
            <w:rStyle w:val="Style11"/>
            <w:sz w:val="24"/>
            <w:szCs w:val="24"/>
          </w:rPr>
          <w:t>На какие именно улучшения жилищных условий можно направить средства материнского капитала</w:t>
        </w:r>
      </w:hyperlink>
    </w:p>
    <w:p>
      <w:pPr>
        <w:pStyle w:val="Style14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приобретение жилого помещения;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строительство или реконструкция объекта индивидуального жилищного строительства (ИЖС) с привлечением строительной организации;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строительство или реконструкция объекта индивидуального жилищного строительства без привлечения строительной организации;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компенсация затрат за построенный или реконструированный объект индивидуального жилищного строительства;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уплата первоначального взноса при получении кредита (займа), в том числе ипотечного, на приобретение или строительство жилья;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погашение основного долга и уплата процентов по кредитам или займам на приобретение или строительство жилья, в том числе ипотечным;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уплата цены по договору участия в долевом строительстве;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 </w:t>
      </w:r>
    </w:p>
    <w:p>
      <w:pPr>
        <w:pStyle w:val="Style14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>
      <w:pPr>
        <w:pStyle w:val="Style14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4"/>
        <w:spacing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2020-08-28T12:06:54Z</dcterms:modified>
  <cp:revision>2</cp:revision>
</cp:coreProperties>
</file>