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b/>
          <w:b/>
          <w:bCs/>
        </w:rPr>
      </w:pPr>
      <w:bookmarkStart w:id="0" w:name="__DdeLink__161_1743231699"/>
      <w:bookmarkEnd w:id="0"/>
      <w:r>
        <w:rPr>
          <w:b/>
          <w:bCs/>
        </w:rPr>
        <w:t>За длительный стаж – досрочная пенсия</w:t>
      </w:r>
    </w:p>
    <w:p>
      <w:pPr>
        <w:pStyle w:val="Style16"/>
        <w:jc w:val="both"/>
        <w:rPr>
          <w:b/>
          <w:b/>
          <w:bCs/>
        </w:rPr>
      </w:pPr>
      <w:r>
        <w:rPr>
          <w:rStyle w:val="Style11"/>
        </w:rPr>
        <w:t>Нестраховые периоды</w:t>
      </w:r>
      <w:r>
        <w:rPr>
          <w:b/>
          <w:bCs/>
        </w:rPr>
        <w:t> </w:t>
      </w:r>
      <w:r>
        <w:rPr>
          <w:rStyle w:val="Style11"/>
        </w:rPr>
        <w:t>в страховой стаж, дающий право на назначение досрочной пенсии по данному основанию, не засчитываются</w:t>
      </w:r>
    </w:p>
    <w:p>
      <w:pPr>
        <w:pStyle w:val="Style16"/>
        <w:jc w:val="both"/>
        <w:rPr/>
      </w:pPr>
      <w:r>
        <w:rPr>
          <w:lang w:val="ru-RU"/>
        </w:rPr>
        <w:t>УПФР в Краснослободском муниципальном районе РМ (межрайонное)</w:t>
      </w:r>
      <w:r>
        <w:rPr/>
        <w:t xml:space="preserve"> напоминает, что Федеральным законом от 03.10.2018 № 350-ФЗ «О внесении изменений в отдельные законодательные акты РФ по вопросам назначения и выплаты пенсий» закреплено право граждан, имеющих большой страховой стаж, выйти на пенсию досрочно.</w:t>
      </w:r>
    </w:p>
    <w:p>
      <w:pPr>
        <w:pStyle w:val="Style16"/>
        <w:jc w:val="both"/>
        <w:rPr/>
      </w:pPr>
      <w:r>
        <w:rPr>
          <w:rStyle w:val="Style11"/>
        </w:rPr>
        <w:t>Так, 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</w:p>
    <w:p>
      <w:pPr>
        <w:pStyle w:val="Style16"/>
        <w:jc w:val="both"/>
        <w:rPr/>
      </w:pPr>
      <w:r>
        <w:rPr/>
        <w:t>Согласно Федеральному закону от 28.12.2013 № 400-ФЗ «О страховых пенсиях» при исчислении страхового стажа – 37 лет для женщин и 42 года для мужчин – в него включаются следующие периоды: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период получения пособия по обязательному социальному страхованию в период временной нетрудоспособности. </w:t>
      </w:r>
    </w:p>
    <w:p>
      <w:pPr>
        <w:pStyle w:val="Style16"/>
        <w:jc w:val="both"/>
        <w:rPr/>
      </w:pPr>
      <w:r>
        <w:rPr>
          <w:rStyle w:val="Style13"/>
        </w:rPr>
        <w:t>Так называемые нестраховые периоды – уход за детьми до 1,5 лет, уход за нетрудоспособными гражданами, служба в армии по призыву и другие – в данном случае в страховой стаж, дающий право на назначение досрочной пенсии по этому основанию, не засчитываются.</w:t>
      </w:r>
    </w:p>
    <w:p>
      <w:pPr>
        <w:pStyle w:val="Style16"/>
        <w:jc w:val="both"/>
        <w:rPr/>
      </w:pPr>
      <w:r>
        <w:rPr/>
        <w:t>Напомним, проверить имеющийся стаж можно в личном кабинете на сайте ПФР или портале госуслуг. Выписку о состоянии индивидуального лицевого счета, где содержатся сведения о стаже, можно также получить в клиентских службах ПФР или в МФЦ. Если какие-либо сведения не учтены или учтены не в полном объеме, необходимо представить в Пенсионный фонд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</w:p>
    <w:p>
      <w:pPr>
        <w:pStyle w:val="Style16"/>
        <w:jc w:val="both"/>
        <w:rPr/>
      </w:pPr>
      <w:r>
        <w:rPr/>
        <w:t>Заявление можно подать: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лично или через своего представителя в клиентской службе ПФР;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в форме электронного документа через личный кабинет на </w:t>
      </w:r>
      <w:hyperlink r:id="rId2">
        <w:r>
          <w:rPr>
            <w:rStyle w:val="Style14"/>
          </w:rPr>
          <w:t>сайте ПФР</w:t>
        </w:r>
      </w:hyperlink>
      <w:r>
        <w:rPr/>
        <w:t xml:space="preserve"> или </w:t>
      </w:r>
      <w:hyperlink r:id="rId3">
        <w:r>
          <w:rPr>
            <w:rStyle w:val="Style14"/>
          </w:rPr>
          <w:t>портале госуслуг</w:t>
        </w:r>
      </w:hyperlink>
      <w:r>
        <w:rPr/>
        <w:t xml:space="preserve">. </w:t>
      </w:r>
    </w:p>
    <w:p>
      <w:pPr>
        <w:pStyle w:val="Style16"/>
        <w:spacing w:before="0" w:after="140"/>
        <w:jc w:val="both"/>
        <w:rPr/>
      </w:pPr>
      <w:r>
        <w:rPr/>
        <w:t>Обратиться с заявлением можно в любую клиентскую службу ПФР независимо от места жительства, места пребывания, места фактического проживания. Одновременно с заявлением необходимо предоставить документ, удостоверяющий личность, и документы, подтверждающие недостающие сведения.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5"/>
    <w:next w:val="Style16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5"/>
    <w:next w:val="Style16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5"/>
    <w:next w:val="Style16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"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Заглавие"/>
    <w:basedOn w:val="Style15"/>
    <w:next w:val="Style16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5"/>
    <w:next w:val="Style16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 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2021-08-23T15:19:08Z</dcterms:created>
  <dc:language>ru-RU</dc:language>
  <dcterms:modified xsi:type="dcterms:W3CDTF">2021-08-23T15:19:51Z</dcterms:modified>
  <cp:revision>1</cp:revision>
</cp:coreProperties>
</file>