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40" w:before="57" w:after="0"/>
        <w:ind w:left="0" w:right="0" w:hanging="0"/>
        <w:jc w:val="center"/>
        <w:rPr>
          <w:rFonts w:ascii="Times New Roman" w:hAnsi="Times New Roman"/>
        </w:rPr>
      </w:pPr>
      <w:r>
        <w:rPr>
          <w:rFonts w:ascii="Times New Roman" w:hAnsi="Times New Roman"/>
          <w:sz w:val="24"/>
          <w:szCs w:val="24"/>
        </w:rPr>
        <w:t>Что нужно знать будущим пенсионерам</w:t>
      </w:r>
    </w:p>
    <w:p>
      <w:pPr>
        <w:pStyle w:val="1"/>
        <w:spacing w:lineRule="auto" w:line="240" w:before="57" w:after="0"/>
        <w:ind w:left="0" w:right="0" w:hanging="0"/>
        <w:jc w:val="both"/>
        <w:rPr>
          <w:sz w:val="24"/>
          <w:szCs w:val="24"/>
        </w:rPr>
      </w:pPr>
      <w:r>
        <w:rPr>
          <w:rFonts w:ascii="Times New Roman" w:hAnsi="Times New Roman"/>
        </w:rPr>
      </w:r>
    </w:p>
    <w:p>
      <w:pPr>
        <w:pStyle w:val="Style14"/>
        <w:spacing w:lineRule="auto" w:line="240" w:before="57" w:after="0"/>
        <w:ind w:left="0" w:right="0" w:hanging="0"/>
        <w:jc w:val="both"/>
        <w:rPr>
          <w:rFonts w:ascii="Times New Roman" w:hAnsi="Times New Roman"/>
        </w:rPr>
      </w:pPr>
      <w:r>
        <w:rPr>
          <w:rFonts w:ascii="Times New Roman" w:hAnsi="Times New Roman"/>
          <w:sz w:val="24"/>
          <w:szCs w:val="24"/>
        </w:rPr>
        <w:t>Пенсионные права граждан с 2015 года формируются в индивидуальных пенсионных коэффициентах, количество которых зависит от начисленных и уплаченных страховых взносов в систему обязательного пенсионного страхования. Если работодателем не уплачиваются страховые взносы в систему обязательного пенсионного страхования (серая заработная плата), то пенсионные права работников не формируются.</w:t>
      </w:r>
    </w:p>
    <w:p>
      <w:pPr>
        <w:pStyle w:val="Style14"/>
        <w:spacing w:lineRule="auto" w:line="240" w:before="57" w:after="0"/>
        <w:ind w:left="0" w:right="0" w:hanging="0"/>
        <w:jc w:val="both"/>
        <w:rPr/>
      </w:pPr>
      <w:r>
        <w:rPr>
          <w:rFonts w:ascii="Times New Roman" w:hAnsi="Times New Roman"/>
        </w:rPr>
        <w:t xml:space="preserve">В </w:t>
      </w:r>
      <w:r>
        <w:rPr>
          <w:rStyle w:val="Style12"/>
          <w:rFonts w:ascii="Times New Roman" w:hAnsi="Times New Roman"/>
        </w:rPr>
        <w:t>2021 году</w:t>
      </w:r>
      <w:r>
        <w:rPr>
          <w:rFonts w:ascii="Times New Roman" w:hAnsi="Times New Roman"/>
        </w:rPr>
        <w:t xml:space="preserve"> условия возникновения права на страховую пенсию по старости следующие:</w:t>
      </w:r>
    </w:p>
    <w:p>
      <w:pPr>
        <w:pStyle w:val="Style14"/>
        <w:numPr>
          <w:ilvl w:val="0"/>
          <w:numId w:val="1"/>
        </w:numPr>
        <w:tabs>
          <w:tab w:val="left" w:pos="0" w:leader="none"/>
        </w:tabs>
        <w:spacing w:lineRule="auto" w:line="240" w:before="57" w:after="0"/>
        <w:ind w:left="0" w:right="0" w:hanging="0"/>
        <w:jc w:val="both"/>
        <w:rPr/>
      </w:pPr>
      <w:r>
        <w:rPr>
          <w:rStyle w:val="Style12"/>
          <w:rFonts w:ascii="Times New Roman" w:hAnsi="Times New Roman"/>
        </w:rPr>
        <w:t>достижение общеустановленного пенсионного возраста (56 лет 6 месяцев для женщин и 61 год 6 месяцев для мужчин)</w:t>
      </w:r>
      <w:r>
        <w:rPr>
          <w:rFonts w:ascii="Times New Roman" w:hAnsi="Times New Roman"/>
        </w:rPr>
        <w:t xml:space="preserve">, за исключением лиц, занятых на определенных работах и при определенных условиях имеющих право на назначение страховой пенсии по старости досрочно; </w:t>
      </w:r>
    </w:p>
    <w:p>
      <w:pPr>
        <w:pStyle w:val="Style14"/>
        <w:numPr>
          <w:ilvl w:val="0"/>
          <w:numId w:val="1"/>
        </w:numPr>
        <w:tabs>
          <w:tab w:val="left" w:pos="0" w:leader="none"/>
        </w:tabs>
        <w:spacing w:lineRule="auto" w:line="240" w:before="57" w:after="0"/>
        <w:ind w:left="0" w:right="0" w:hanging="0"/>
        <w:jc w:val="both"/>
        <w:rPr/>
      </w:pPr>
      <w:r>
        <w:rPr>
          <w:rStyle w:val="Style12"/>
          <w:rFonts w:ascii="Times New Roman" w:hAnsi="Times New Roman"/>
        </w:rPr>
        <w:t>наличие страхового стажа не менее 12 лет</w:t>
      </w:r>
      <w:r>
        <w:rPr>
          <w:rFonts w:ascii="Times New Roman" w:hAnsi="Times New Roman"/>
        </w:rPr>
        <w:t xml:space="preserve">; </w:t>
      </w:r>
    </w:p>
    <w:p>
      <w:pPr>
        <w:pStyle w:val="Style14"/>
        <w:numPr>
          <w:ilvl w:val="0"/>
          <w:numId w:val="1"/>
        </w:numPr>
        <w:tabs>
          <w:tab w:val="left" w:pos="0" w:leader="none"/>
        </w:tabs>
        <w:spacing w:lineRule="auto" w:line="240" w:before="57" w:after="0"/>
        <w:ind w:left="0" w:right="0" w:hanging="0"/>
        <w:jc w:val="both"/>
        <w:rPr/>
      </w:pPr>
      <w:r>
        <w:rPr>
          <w:rStyle w:val="Style12"/>
          <w:rFonts w:ascii="Times New Roman" w:hAnsi="Times New Roman"/>
        </w:rPr>
        <w:t>наличие не менее 21 пенсионного коэффициента</w:t>
      </w:r>
      <w:r>
        <w:rPr>
          <w:rFonts w:ascii="Times New Roman" w:hAnsi="Times New Roman"/>
        </w:rPr>
        <w:t xml:space="preserve">. </w:t>
      </w:r>
    </w:p>
    <w:p>
      <w:pPr>
        <w:pStyle w:val="Style14"/>
        <w:spacing w:lineRule="auto" w:line="240" w:before="57" w:after="0"/>
        <w:ind w:left="0" w:right="0" w:hanging="0"/>
        <w:jc w:val="both"/>
        <w:rPr>
          <w:rFonts w:ascii="Times New Roman" w:hAnsi="Times New Roman"/>
        </w:rPr>
      </w:pPr>
      <w:r>
        <w:rPr>
          <w:rFonts w:ascii="Times New Roman" w:hAnsi="Times New Roman"/>
        </w:rPr>
        <w:t>В Личном кабинете гражданина отражены все ваши пенсионные права (данные о стаже, заработке, количестве пенсионных коэффициентов, нестраховых периодах и др.), сформированные на основе сведений, которые ПФР получил от работодателей. Если вы считаете, что какие-либо сведения в Личном кабинете гражданина не учтены или учтены не в полном объёме, обратитесь к работодателю для уточнения данных или представьте заблаговременно документы, подтверждающие неучтенные периоды работы (иной деятельности) в территориальный орган ПФР. Чтобы пользоваться Личным кабинетом, зарегистрируйтесь и получите подтверждённую учётную запись в ЕСИА на Портале госуслуг.</w:t>
      </w:r>
    </w:p>
    <w:p>
      <w:pPr>
        <w:pStyle w:val="Style14"/>
        <w:spacing w:lineRule="auto" w:line="240" w:before="57" w:after="0"/>
        <w:ind w:left="0" w:right="0" w:hanging="0"/>
        <w:jc w:val="both"/>
        <w:rPr>
          <w:rFonts w:ascii="Times New Roman" w:hAnsi="Times New Roman"/>
        </w:rPr>
      </w:pPr>
      <w:r>
        <w:rPr>
          <w:rFonts w:ascii="Times New Roman" w:hAnsi="Times New Roman"/>
        </w:rPr>
        <w:t>За такие социально значимые периоды жизни человека, как срочная служба в армии, уход за ребенком, ребенком-инвалидом, инвалидом 1 группы, гражданином старше 80 лет, проживание супругов военнослужащих в местностях, где они не могли трудоустроиться (не более 5 лет) — так называемые «нестраховые периоды» — присваиваются особые годовые коэффициенты, если в эти периоды гражданин не работал.</w:t>
      </w:r>
    </w:p>
    <w:p>
      <w:pPr>
        <w:pStyle w:val="Style14"/>
        <w:spacing w:lineRule="auto" w:line="240" w:before="57" w:after="0"/>
        <w:ind w:left="0" w:right="0" w:hanging="0"/>
        <w:jc w:val="both"/>
        <w:rPr>
          <w:rFonts w:ascii="Times New Roman" w:hAnsi="Times New Roman"/>
        </w:rPr>
      </w:pPr>
      <w:r>
        <w:rPr>
          <w:rFonts w:ascii="Times New Roman" w:hAnsi="Times New Roman"/>
        </w:rPr>
        <w:t>За каждый полный календарный год из числа указанных периодов начисляется 1,8 пенсионных коэффициентов.</w:t>
      </w:r>
    </w:p>
    <w:p>
      <w:pPr>
        <w:pStyle w:val="Style14"/>
        <w:spacing w:lineRule="auto" w:line="240" w:before="57" w:after="0"/>
        <w:ind w:left="0" w:right="0" w:hanging="0"/>
        <w:jc w:val="both"/>
        <w:rPr>
          <w:rFonts w:ascii="Times New Roman" w:hAnsi="Times New Roman"/>
        </w:rPr>
      </w:pPr>
      <w:r>
        <w:rPr>
          <w:rFonts w:ascii="Times New Roman" w:hAnsi="Times New Roman"/>
        </w:rPr>
        <w:t>За периоды ухода за детьми (до 1,5 лет за каждым ребенком, но не более 6 лет в общей сложности) начисляется:</w:t>
      </w:r>
    </w:p>
    <w:p>
      <w:pPr>
        <w:pStyle w:val="Style14"/>
        <w:numPr>
          <w:ilvl w:val="0"/>
          <w:numId w:val="2"/>
        </w:numPr>
        <w:tabs>
          <w:tab w:val="left" w:pos="0" w:leader="none"/>
        </w:tabs>
        <w:spacing w:lineRule="auto" w:line="240" w:before="57" w:after="0"/>
        <w:ind w:left="0" w:right="0" w:hanging="0"/>
        <w:jc w:val="both"/>
        <w:rPr>
          <w:rFonts w:ascii="Times New Roman" w:hAnsi="Times New Roman"/>
        </w:rPr>
      </w:pPr>
      <w:r>
        <w:rPr>
          <w:rFonts w:ascii="Times New Roman" w:hAnsi="Times New Roman"/>
        </w:rPr>
        <w:t xml:space="preserve">1,8 пенсионных коэффициентов за год ухода за первым ребенком, </w:t>
      </w:r>
    </w:p>
    <w:p>
      <w:pPr>
        <w:pStyle w:val="Style14"/>
        <w:numPr>
          <w:ilvl w:val="0"/>
          <w:numId w:val="2"/>
        </w:numPr>
        <w:tabs>
          <w:tab w:val="left" w:pos="0" w:leader="none"/>
        </w:tabs>
        <w:spacing w:lineRule="auto" w:line="240" w:before="57" w:after="0"/>
        <w:ind w:left="0" w:right="0" w:hanging="0"/>
        <w:jc w:val="both"/>
        <w:rPr>
          <w:rFonts w:ascii="Times New Roman" w:hAnsi="Times New Roman"/>
        </w:rPr>
      </w:pPr>
      <w:r>
        <w:rPr>
          <w:rFonts w:ascii="Times New Roman" w:hAnsi="Times New Roman"/>
        </w:rPr>
        <w:t xml:space="preserve">3,6 пенсионных коэффициентов за год ухода за вторым ребенком, </w:t>
      </w:r>
    </w:p>
    <w:p>
      <w:pPr>
        <w:pStyle w:val="Style14"/>
        <w:numPr>
          <w:ilvl w:val="0"/>
          <w:numId w:val="2"/>
        </w:numPr>
        <w:tabs>
          <w:tab w:val="left" w:pos="0" w:leader="none"/>
        </w:tabs>
        <w:spacing w:lineRule="auto" w:line="240" w:before="57" w:after="0"/>
        <w:ind w:left="0" w:right="0" w:hanging="0"/>
        <w:jc w:val="both"/>
        <w:rPr>
          <w:rFonts w:ascii="Times New Roman" w:hAnsi="Times New Roman"/>
        </w:rPr>
      </w:pPr>
      <w:r>
        <w:rPr>
          <w:rFonts w:ascii="Times New Roman" w:hAnsi="Times New Roman"/>
        </w:rPr>
        <w:t xml:space="preserve">5,4 пенсионных коэффициентов за год ухода за третьим и четвертым ребенком. </w:t>
      </w:r>
    </w:p>
    <w:p>
      <w:pPr>
        <w:pStyle w:val="Style14"/>
        <w:spacing w:lineRule="auto" w:line="240" w:before="57" w:after="0"/>
        <w:ind w:left="0" w:right="0" w:hanging="0"/>
        <w:jc w:val="both"/>
        <w:rPr>
          <w:rFonts w:ascii="Times New Roman" w:hAnsi="Times New Roman"/>
        </w:rPr>
      </w:pPr>
      <w:r>
        <w:rPr>
          <w:rFonts w:ascii="Times New Roman" w:hAnsi="Times New Roman"/>
        </w:rPr>
        <w:t>Коэффициенты начисляются не более чем за четверых детей.</w:t>
      </w:r>
    </w:p>
    <w:p>
      <w:pPr>
        <w:pStyle w:val="Style14"/>
        <w:spacing w:lineRule="auto" w:line="240" w:before="57" w:after="0"/>
        <w:ind w:left="0" w:right="0" w:hanging="0"/>
        <w:jc w:val="both"/>
        <w:rPr>
          <w:rFonts w:ascii="Times New Roman" w:hAnsi="Times New Roman"/>
        </w:rPr>
      </w:pPr>
      <w:r>
        <w:rPr>
          <w:rFonts w:ascii="Times New Roman" w:hAnsi="Times New Roman"/>
        </w:rPr>
        <w:t>Сумму пенсионных коэффициентов существенно увеличивает обращение за назначением страховой пенсии по старости (в том числе досрочно) позднее возникновения права на неё.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pPr>
        <w:pStyle w:val="Style14"/>
        <w:spacing w:lineRule="auto" w:line="240" w:before="57" w:after="0"/>
        <w:ind w:left="0" w:right="0" w:hanging="0"/>
        <w:jc w:val="both"/>
        <w:rPr>
          <w:rFonts w:ascii="Times New Roman" w:hAnsi="Times New Roman"/>
        </w:rPr>
      </w:pPr>
      <w:r>
        <w:rPr>
          <w:rFonts w:ascii="Times New Roman" w:hAnsi="Times New Roman"/>
        </w:rPr>
        <w:t>При назначении пенсии в 2021 году стоимость пенсионного коэффициента составляет 98 руб. 86 коп.</w:t>
      </w:r>
    </w:p>
    <w:p>
      <w:pPr>
        <w:pStyle w:val="Style14"/>
        <w:spacing w:lineRule="auto" w:line="240" w:before="57" w:after="0"/>
        <w:ind w:left="0" w:right="0" w:hanging="0"/>
        <w:jc w:val="both"/>
        <w:rPr>
          <w:rFonts w:ascii="Times New Roman" w:hAnsi="Times New Roman"/>
        </w:rPr>
      </w:pPr>
      <w:r>
        <w:rPr>
          <w:rFonts w:ascii="Times New Roman" w:hAnsi="Times New Roman"/>
        </w:rPr>
        <w:t>Размер фиксированной выплаты к страховой пенсии в 2021 году составляет 6044 руб. 48 коп.</w:t>
      </w:r>
    </w:p>
    <w:p>
      <w:pPr>
        <w:pStyle w:val="Style14"/>
        <w:spacing w:lineRule="auto" w:line="240" w:before="57" w:after="0"/>
        <w:ind w:left="0" w:right="0" w:hanging="0"/>
        <w:jc w:val="both"/>
        <w:rPr/>
      </w:pPr>
      <w:r>
        <w:rPr>
          <w:rFonts w:ascii="Times New Roman" w:hAnsi="Times New Roman"/>
        </w:rPr>
        <w:t>Подробнее с информацией о формировании страховой пенсии вы можете ознакомиться на сайте Пенсионного фонда РФ (</w:t>
      </w:r>
      <w:hyperlink r:id="rId2">
        <w:r>
          <w:rPr>
            <w:rStyle w:val="Style11"/>
            <w:rFonts w:ascii="Times New Roman" w:hAnsi="Times New Roman"/>
          </w:rPr>
          <w:t>https://pfr.gov.ru/grazhdanam/pensions/</w:t>
        </w:r>
      </w:hyperlink>
      <w:r>
        <w:rPr>
          <w:rFonts w:ascii="Times New Roman" w:hAnsi="Times New Roman"/>
        </w:rPr>
        <w:t>).</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3"/>
    <w:pPr>
      <w:spacing w:before="240" w:after="120"/>
      <w:outlineLvl w:val="0"/>
    </w:pPr>
    <w:rPr>
      <w:b/>
      <w:bCs/>
      <w:sz w:val="36"/>
      <w:szCs w:val="36"/>
    </w:rPr>
  </w:style>
  <w:style w:type="paragraph" w:styleId="2">
    <w:name w:val="Заголовок 2"/>
    <w:basedOn w:val="Style13"/>
    <w:pPr>
      <w:spacing w:before="200" w:after="120"/>
      <w:outlineLvl w:val="1"/>
    </w:pPr>
    <w:rPr>
      <w:b/>
      <w:bCs/>
      <w:sz w:val="32"/>
      <w:szCs w:val="32"/>
    </w:rPr>
  </w:style>
  <w:style w:type="paragraph" w:styleId="3">
    <w:name w:val="Заголовок 3"/>
    <w:basedOn w:val="Style13"/>
    <w:pPr>
      <w:spacing w:before="140" w:after="120"/>
      <w:outlineLvl w:val="2"/>
    </w:pPr>
    <w:rPr>
      <w:b/>
      <w:bCs/>
      <w:sz w:val="28"/>
      <w:szCs w:val="28"/>
    </w:rPr>
  </w:style>
  <w:style w:type="character" w:styleId="Style11">
    <w:name w:val="Интернет-ссылка"/>
    <w:rPr>
      <w:color w:val="000080"/>
      <w:u w:val="single"/>
      <w:lang w:val="zxx" w:eastAsia="zxx" w:bidi="zxx"/>
    </w:rPr>
  </w:style>
  <w:style w:type="character" w:styleId="Style12">
    <w:name w:val="Выделение жирным"/>
    <w:rPr>
      <w:b/>
      <w:bCs/>
    </w:rPr>
  </w:style>
  <w:style w:type="character" w:styleId="ListLabel3">
    <w:name w:val="ListLabel 3"/>
    <w:qFormat/>
    <w:rPr>
      <w:rFonts w:cs="OpenSymbol"/>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Блочная цитата"/>
    <w:basedOn w:val="Normal"/>
    <w:qFormat/>
    <w:pPr>
      <w:spacing w:before="0" w:after="283"/>
      <w:ind w:left="567" w:right="567" w:hanging="0"/>
    </w:pPr>
    <w:rPr/>
  </w:style>
  <w:style w:type="paragraph" w:styleId="Style19">
    <w:name w:val="Заглавие"/>
    <w:basedOn w:val="Style13"/>
    <w:pPr>
      <w:jc w:val="center"/>
    </w:pPr>
    <w:rPr>
      <w:b/>
      <w:bCs/>
      <w:sz w:val="56"/>
      <w:szCs w:val="56"/>
    </w:rPr>
  </w:style>
  <w:style w:type="paragraph" w:styleId="Style20">
    <w:name w:val="Подзаголовок"/>
    <w:basedOn w:val="Style13"/>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fr.gov.ru/grazhdanam/pension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2021-04-28T11:55:42Z</dcterms:created>
  <dc:language>ru-RU</dc:language>
  <dcterms:modified xsi:type="dcterms:W3CDTF">2021-04-28T12:01:39Z</dcterms:modified>
  <cp:revision>1</cp:revision>
</cp:coreProperties>
</file>