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7C" w:rsidRDefault="00DD497C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DD497C" w:rsidRDefault="00DD497C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Новомамангинского сельского поселения</w:t>
      </w:r>
    </w:p>
    <w:p w:rsidR="00DD497C" w:rsidRDefault="00DD497C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DD497C" w:rsidRPr="0008178B" w:rsidRDefault="00DD497C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DD497C" w:rsidRPr="0008178B" w:rsidRDefault="00DD497C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D497C" w:rsidRPr="0008178B" w:rsidRDefault="00DD497C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DD497C" w:rsidRDefault="00DD497C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497C" w:rsidRDefault="00DD497C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«11» сентября </w:t>
      </w:r>
      <w:r w:rsidRPr="00C50E1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 года</w:t>
      </w:r>
      <w:r w:rsidRPr="00C50E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№1</w:t>
      </w:r>
    </w:p>
    <w:p w:rsidR="00DD497C" w:rsidRPr="000D0017" w:rsidRDefault="00DD497C" w:rsidP="00B85C11"/>
    <w:p w:rsidR="00DD497C" w:rsidRPr="00B85C11" w:rsidRDefault="00DD497C" w:rsidP="00B8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DD497C" w:rsidRDefault="00DD497C" w:rsidP="00B8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hAnsi="Times New Roman"/>
          <w:b/>
          <w:sz w:val="28"/>
          <w:szCs w:val="28"/>
          <w:lang w:eastAsia="ru-RU"/>
        </w:rPr>
        <w:t>о порядке самообложения граждан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DD497C" w:rsidRPr="00D85437" w:rsidRDefault="00DD497C" w:rsidP="00D85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Новомамангинского сельского поселения</w:t>
      </w:r>
    </w:p>
    <w:p w:rsidR="00DD497C" w:rsidRPr="00B85C11" w:rsidRDefault="00DD497C" w:rsidP="00B85C11">
      <w:pPr>
        <w:rPr>
          <w:lang w:eastAsia="ru-RU"/>
        </w:rPr>
      </w:pPr>
    </w:p>
    <w:p w:rsidR="00DD497C" w:rsidRPr="00B85C11" w:rsidRDefault="00DD497C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>
        <w:rPr>
          <w:rFonts w:ascii="Times New Roman" w:hAnsi="Times New Roman"/>
          <w:sz w:val="28"/>
          <w:szCs w:val="28"/>
        </w:rPr>
        <w:t xml:space="preserve"> Новомамангинского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Ковылкинского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 xml:space="preserve">вопросов местного значения в соответствии со статьями 22, 25.1, 56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85C11">
          <w:rPr>
            <w:rFonts w:ascii="Times New Roman" w:hAnsi="Times New Roman"/>
            <w:sz w:val="28"/>
            <w:szCs w:val="28"/>
          </w:rPr>
          <w:t>2003 г</w:t>
        </w:r>
      </w:smartTag>
      <w:r w:rsidRPr="00B85C1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статьей 15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B85C11">
          <w:rPr>
            <w:rFonts w:ascii="Times New Roman" w:hAnsi="Times New Roman"/>
            <w:sz w:val="28"/>
            <w:szCs w:val="28"/>
          </w:rPr>
          <w:t>2002 г</w:t>
        </w:r>
      </w:smartTag>
      <w:r w:rsidRPr="00B85C11">
        <w:rPr>
          <w:rFonts w:ascii="Times New Roman" w:hAnsi="Times New Roman"/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85C11">
          <w:rPr>
            <w:rFonts w:ascii="Times New Roman" w:hAnsi="Times New Roman"/>
            <w:sz w:val="28"/>
            <w:szCs w:val="28"/>
          </w:rPr>
          <w:t>2007 г</w:t>
        </w:r>
      </w:smartTag>
      <w:r w:rsidRPr="00B85C11">
        <w:rPr>
          <w:rFonts w:ascii="Times New Roman" w:hAnsi="Times New Roman"/>
          <w:sz w:val="28"/>
          <w:szCs w:val="28"/>
        </w:rPr>
        <w:t xml:space="preserve">. № 15-З «О местном референдуме в Республике Мордовия»,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Новомамангинского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Новомамангинского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D497C" w:rsidRPr="00B85C11" w:rsidRDefault="00DD497C" w:rsidP="00B04A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 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:rsidR="00DD497C" w:rsidRDefault="00DD497C" w:rsidP="00B0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DD497C" w:rsidRDefault="00DD497C" w:rsidP="00B85C11">
      <w:pPr>
        <w:jc w:val="both"/>
        <w:rPr>
          <w:rFonts w:ascii="Times New Roman" w:hAnsi="Times New Roman"/>
          <w:sz w:val="28"/>
          <w:szCs w:val="28"/>
        </w:rPr>
      </w:pPr>
    </w:p>
    <w:p w:rsidR="00DD497C" w:rsidRDefault="00DD497C" w:rsidP="00B85C11">
      <w:pPr>
        <w:jc w:val="both"/>
        <w:rPr>
          <w:rFonts w:ascii="Times New Roman" w:hAnsi="Times New Roman"/>
          <w:sz w:val="28"/>
          <w:szCs w:val="28"/>
        </w:rPr>
      </w:pPr>
    </w:p>
    <w:p w:rsidR="00DD497C" w:rsidRPr="003B3CAB" w:rsidRDefault="00DD497C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Новомамангинского </w:t>
      </w: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D497C" w:rsidRDefault="00DD497C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  В.Н.Рузаева</w:t>
      </w:r>
    </w:p>
    <w:p w:rsidR="00DD497C" w:rsidRDefault="00DD497C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97C" w:rsidRPr="00B85C11" w:rsidRDefault="00DD497C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497C" w:rsidRPr="00D7175F" w:rsidRDefault="00DD497C" w:rsidP="00543CF7">
      <w:pPr>
        <w:spacing w:after="236" w:line="274" w:lineRule="exact"/>
        <w:ind w:right="20"/>
        <w:rPr>
          <w:rFonts w:ascii="Times New Roman" w:hAnsi="Times New Roman"/>
          <w:sz w:val="24"/>
          <w:szCs w:val="24"/>
          <w:lang w:eastAsia="ru-RU"/>
        </w:rPr>
      </w:pPr>
    </w:p>
    <w:p w:rsidR="00DD497C" w:rsidRPr="00D7175F" w:rsidRDefault="00DD497C" w:rsidP="00FB58F4">
      <w:pPr>
        <w:spacing w:after="0" w:line="274" w:lineRule="exact"/>
        <w:ind w:left="6000" w:right="20"/>
        <w:rPr>
          <w:rFonts w:ascii="Times New Roman" w:hAnsi="Times New Roman"/>
          <w:sz w:val="24"/>
          <w:szCs w:val="24"/>
          <w:lang w:eastAsia="ru-RU"/>
        </w:rPr>
      </w:pPr>
    </w:p>
    <w:p w:rsidR="00DD497C" w:rsidRPr="00327594" w:rsidRDefault="00DD497C" w:rsidP="00327594">
      <w:pPr>
        <w:keepNext/>
        <w:keepLines/>
        <w:spacing w:after="0" w:line="240" w:lineRule="auto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  <w:bookmarkStart w:id="0" w:name="bookmark2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Pr="00327594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DD497C" w:rsidRPr="00327594" w:rsidRDefault="00DD497C" w:rsidP="00327594">
      <w:pPr>
        <w:keepNext/>
        <w:keepLines/>
        <w:spacing w:after="0" w:line="240" w:lineRule="auto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327594">
        <w:rPr>
          <w:rFonts w:ascii="Times New Roman" w:hAnsi="Times New Roman"/>
          <w:sz w:val="24"/>
          <w:szCs w:val="24"/>
          <w:lang w:eastAsia="ru-RU"/>
        </w:rPr>
        <w:t>ешением Совета депутатов</w:t>
      </w:r>
    </w:p>
    <w:p w:rsidR="00DD497C" w:rsidRDefault="00DD497C" w:rsidP="00327594">
      <w:pPr>
        <w:keepNext/>
        <w:keepLines/>
        <w:spacing w:after="0" w:line="240" w:lineRule="auto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Новомамангинского</w:t>
      </w:r>
      <w:r w:rsidRPr="0032759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D497C" w:rsidRPr="00327594" w:rsidRDefault="00DD497C" w:rsidP="00327594">
      <w:pPr>
        <w:keepNext/>
        <w:keepLines/>
        <w:spacing w:after="0" w:line="240" w:lineRule="auto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Ковылкинского муниципального района</w:t>
      </w:r>
    </w:p>
    <w:p w:rsidR="00DD497C" w:rsidRPr="00327594" w:rsidRDefault="00DD497C" w:rsidP="00327594">
      <w:pPr>
        <w:keepNext/>
        <w:keepLines/>
        <w:spacing w:after="0" w:line="240" w:lineRule="auto"/>
        <w:jc w:val="right"/>
        <w:outlineLvl w:val="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27594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32759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327594">
        <w:rPr>
          <w:rFonts w:ascii="Times New Roman" w:hAnsi="Times New Roman"/>
          <w:sz w:val="24"/>
          <w:szCs w:val="24"/>
          <w:lang w:eastAsia="ru-RU"/>
        </w:rPr>
        <w:t>.2020 г. №</w:t>
      </w:r>
      <w:r>
        <w:rPr>
          <w:rFonts w:ascii="Times New Roman" w:hAnsi="Times New Roman"/>
          <w:sz w:val="24"/>
          <w:szCs w:val="24"/>
          <w:lang w:eastAsia="ru-RU"/>
        </w:rPr>
        <w:t>30</w:t>
      </w:r>
    </w:p>
    <w:p w:rsidR="00DD497C" w:rsidRDefault="00DD497C" w:rsidP="00FB58F4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</w:p>
    <w:p w:rsidR="00DD497C" w:rsidRPr="00D7175F" w:rsidRDefault="00DD497C" w:rsidP="00FB58F4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 w:rsidRPr="00D7175F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DD497C" w:rsidRDefault="00DD497C" w:rsidP="00471D85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D85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</w:p>
    <w:p w:rsidR="00DD497C" w:rsidRPr="00D7175F" w:rsidRDefault="00DD497C" w:rsidP="00471D85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Новомамангинского</w:t>
      </w:r>
      <w:r w:rsidRPr="00471D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D497C" w:rsidRPr="00D7175F" w:rsidRDefault="00DD497C" w:rsidP="00FB58F4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97C" w:rsidRPr="00B04ACE" w:rsidRDefault="00DD497C" w:rsidP="00B0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B04ACE">
        <w:rPr>
          <w:rFonts w:ascii="Times New Roman" w:hAnsi="Times New Roman"/>
          <w:sz w:val="28"/>
          <w:szCs w:val="28"/>
        </w:rPr>
        <w:t xml:space="preserve"> сельского </w:t>
      </w:r>
      <w:r w:rsidRPr="00B04ACE">
        <w:rPr>
          <w:rFonts w:ascii="Times New Roman" w:hAnsi="Times New Roman"/>
          <w:sz w:val="28"/>
          <w:szCs w:val="28"/>
          <w:lang w:eastAsia="ru-RU"/>
        </w:rPr>
        <w:t>поселения Ковылкинского муниципального района Республики Мордовия, сбора и использования средств самообложения граждан.</w:t>
      </w:r>
    </w:p>
    <w:p w:rsidR="00DD497C" w:rsidRPr="00B04ACE" w:rsidRDefault="00DD497C" w:rsidP="00B04AC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bookmark3"/>
    </w:p>
    <w:p w:rsidR="00DD497C" w:rsidRPr="00B04ACE" w:rsidRDefault="00DD497C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  <w:bookmarkEnd w:id="1"/>
    </w:p>
    <w:p w:rsidR="00DD497C" w:rsidRPr="00B04ACE" w:rsidRDefault="00DD497C" w:rsidP="00B04ACE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DD497C" w:rsidRPr="00B04ACE" w:rsidRDefault="00DD497C" w:rsidP="00B04ACE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:rsidR="00DD497C" w:rsidRPr="00B04ACE" w:rsidRDefault="00DD497C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величине, равной для всех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:rsidR="00DD497C" w:rsidRPr="00B04ACE" w:rsidRDefault="00DD497C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131-Ф3 «Об общих принципах организации местного самоуправления в Российской Федерации»,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67-ФЗ «Об основных гарантиях избирательных прав и права на участие в референдуме граждан Российской Федерации», Конституцией Республики Мордовия, Законом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15-З «О местном референдуме в Республике Мордовия», другими федеральными законами и иными нормативными правовыми актами Российской Федерации, законами Республики Мордовия и иными нормативными правовыми актами Республики Мордовия, Уставом </w:t>
      </w:r>
      <w:r>
        <w:rPr>
          <w:rFonts w:ascii="Times New Roman" w:hAnsi="Times New Roman"/>
          <w:sz w:val="28"/>
          <w:szCs w:val="28"/>
          <w:lang w:eastAsia="ru-RU"/>
        </w:rPr>
        <w:t>Новомамангинского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настоящим Положением.</w:t>
      </w:r>
    </w:p>
    <w:p w:rsidR="00DD497C" w:rsidRPr="00B04ACE" w:rsidRDefault="00DD497C" w:rsidP="00B04ACE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DD497C" w:rsidRPr="00B04ACE" w:rsidRDefault="00DD497C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:rsidR="00DD497C" w:rsidRPr="00B04ACE" w:rsidRDefault="00DD497C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DD497C" w:rsidRPr="00B04ACE" w:rsidRDefault="00DD497C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DD497C" w:rsidRPr="00B04ACE" w:rsidRDefault="00DD497C" w:rsidP="00B04ACE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решения.</w:t>
      </w:r>
    </w:p>
    <w:p w:rsidR="00DD497C" w:rsidRPr="00B04ACE" w:rsidRDefault="00DD497C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Местный референдум проводится в порядке, предусмотренном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15-З «О местном референдуме» и Уставом </w:t>
      </w:r>
      <w:r>
        <w:rPr>
          <w:rFonts w:ascii="Times New Roman" w:hAnsi="Times New Roman"/>
          <w:sz w:val="28"/>
          <w:szCs w:val="28"/>
          <w:lang w:eastAsia="ru-RU"/>
        </w:rPr>
        <w:t>Новомамангинского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D497C" w:rsidRPr="00B04ACE" w:rsidRDefault="00DD497C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 решении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Новомамангинского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– Совет депутатов) о назначении местного референдума, принимаемом в соответствии с Уставом </w:t>
      </w:r>
      <w:r>
        <w:rPr>
          <w:rFonts w:ascii="Times New Roman" w:hAnsi="Times New Roman"/>
          <w:sz w:val="28"/>
          <w:szCs w:val="28"/>
          <w:lang w:eastAsia="ru-RU"/>
        </w:rPr>
        <w:t>Новомамангинского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указываются: </w:t>
      </w:r>
    </w:p>
    <w:p w:rsidR="00DD497C" w:rsidRPr="00B04ACE" w:rsidRDefault="00DD497C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:rsidR="00DD497C" w:rsidRPr="00B04ACE" w:rsidRDefault="00DD497C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:rsidR="00DD497C" w:rsidRPr="00B04ACE" w:rsidRDefault="00DD497C" w:rsidP="00B04ACE">
      <w:pPr>
        <w:pStyle w:val="ListParagraph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DD497C" w:rsidRPr="00B04ACE" w:rsidRDefault="00DD497C" w:rsidP="00B04ACE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:rsidR="00DD497C" w:rsidRPr="00B04ACE" w:rsidRDefault="00DD497C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Положения;</w:t>
      </w:r>
    </w:p>
    <w:p w:rsidR="00DD497C" w:rsidRPr="00B04ACE" w:rsidRDefault="00DD497C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:rsidR="00DD497C" w:rsidRPr="00B04ACE" w:rsidRDefault="00DD497C" w:rsidP="00B04ACE">
      <w:pPr>
        <w:pStyle w:val="ListParagraph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 решении Совета депутатов о перенесении дня голосования на местном референдуме, принимаемом в порядке, предусмотренном пунктом 5 статьи 9 Закона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15-З «О местном референдуме», указываются: </w:t>
      </w:r>
    </w:p>
    <w:p w:rsidR="00DD497C" w:rsidRPr="00B04ACE" w:rsidRDefault="00DD497C" w:rsidP="00B04ACE">
      <w:pPr>
        <w:pStyle w:val="ListParagraph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:rsidR="00DD497C" w:rsidRPr="00B04ACE" w:rsidRDefault="00DD497C" w:rsidP="00B04ACE">
      <w:pPr>
        <w:pStyle w:val="ListParagraph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день, на который переносится голосование на местном референдуме.</w:t>
      </w:r>
    </w:p>
    <w:p w:rsidR="00DD497C" w:rsidRPr="00B04ACE" w:rsidRDefault="00DD497C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bookmark5"/>
    </w:p>
    <w:p w:rsidR="00DD497C" w:rsidRPr="00B04ACE" w:rsidRDefault="00DD497C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hAnsi="Times New Roman"/>
          <w:b/>
          <w:sz w:val="28"/>
          <w:szCs w:val="28"/>
          <w:lang w:eastAsia="ru-RU"/>
        </w:rPr>
        <w:t>2. Назначение, подготовка и проведение схода граждан</w:t>
      </w:r>
      <w:bookmarkEnd w:id="2"/>
    </w:p>
    <w:p w:rsidR="00DD497C" w:rsidRPr="00B04ACE" w:rsidRDefault="00DD497C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признанным судом недееспособными или не содержащимся в местах лишения свободы по приговору суда. 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участвуют в сходе непосредственно  путем открытого или тайного голосования. Каждый гражданин при  голосовании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DD497C" w:rsidRPr="00B04ACE" w:rsidRDefault="00DD497C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DD497C" w:rsidRPr="00DD1B3C" w:rsidRDefault="00DD497C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:rsidR="00DD497C" w:rsidRPr="00B04ACE" w:rsidRDefault="00DD497C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этом, каждый вопрос, выносимый на сход граждан, должен содержать информацию, указанную в пункте 1.12 настоящего Положения, а 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случае, если в качестве субъекта инициативы выступает инициативная группа, к ходатайству прикладывается список инициативной группы по форме, установленной в приложении 1 к настоящему Положению.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B04ACE">
        <w:rPr>
          <w:rFonts w:ascii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Совет  депутатов принимает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275CB1">
        <w:rPr>
          <w:rFonts w:ascii="Times New Roman" w:hAnsi="Times New Roman"/>
          <w:sz w:val="28"/>
          <w:szCs w:val="28"/>
          <w:lang w:eastAsia="ru-RU"/>
        </w:rPr>
        <w:t>о проведении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схода граждан и создании комиссии по организации и проведению схода граждан (далее – комиссия) в составе 3 – 5 человек.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2.10 настоящего Положения, принимается Советом депутатов в сроки:</w:t>
      </w:r>
    </w:p>
    <w:p w:rsidR="00DD497C" w:rsidRPr="00B04ACE" w:rsidRDefault="00DD497C" w:rsidP="00B04ACE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2.6 настоящего Положения;</w:t>
      </w:r>
    </w:p>
    <w:p w:rsidR="00DD497C" w:rsidRPr="00B04ACE" w:rsidRDefault="00DD497C" w:rsidP="00B04ACE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2.6 настоящего Положения. </w:t>
      </w:r>
    </w:p>
    <w:p w:rsidR="00DD497C" w:rsidRPr="00DD1B3C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 xml:space="preserve">В решении, указанном в пункте 2.10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 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В состав </w:t>
      </w:r>
      <w:r w:rsidRPr="00DD1B3C">
        <w:rPr>
          <w:rFonts w:ascii="Times New Roman" w:hAnsi="Times New Roman"/>
          <w:sz w:val="28"/>
          <w:szCs w:val="28"/>
        </w:rPr>
        <w:t>комиссии в</w:t>
      </w:r>
      <w:r w:rsidRPr="00B04ACE">
        <w:rPr>
          <w:rFonts w:ascii="Times New Roman" w:hAnsi="Times New Roman"/>
          <w:sz w:val="28"/>
          <w:szCs w:val="28"/>
        </w:rPr>
        <w:t>ходят председатель, секретарь и члены комиссии.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B04ACE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DD497C" w:rsidRPr="00B04ACE" w:rsidRDefault="00DD497C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непредставления подписного листа, указанного в пункте 2.9 настоящего Положения;</w:t>
      </w:r>
    </w:p>
    <w:p w:rsidR="00DD497C" w:rsidRPr="00B04ACE" w:rsidRDefault="00DD497C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подписного листа установленной настоящим Положением форме;</w:t>
      </w:r>
    </w:p>
    <w:p w:rsidR="00DD497C" w:rsidRPr="00B04ACE" w:rsidRDefault="00DD497C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DD497C" w:rsidRPr="00B04ACE" w:rsidRDefault="00DD497C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:rsidR="00DD497C" w:rsidRPr="00B04ACE" w:rsidRDefault="00DD497C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:rsidR="00DD497C" w:rsidRPr="00B04ACE" w:rsidRDefault="00DD497C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>
        <w:rPr>
          <w:rFonts w:ascii="Times New Roman" w:hAnsi="Times New Roman"/>
          <w:sz w:val="28"/>
          <w:szCs w:val="28"/>
          <w:lang w:eastAsia="ru-RU"/>
        </w:rPr>
        <w:t>Новомамангинского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иным муниципальным правовым актам органов </w:t>
      </w:r>
      <w:r>
        <w:rPr>
          <w:rFonts w:ascii="Times New Roman" w:hAnsi="Times New Roman"/>
          <w:sz w:val="28"/>
          <w:szCs w:val="28"/>
          <w:lang w:eastAsia="ru-RU"/>
        </w:rPr>
        <w:t>Новомамангинского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2.15 настоящего Положения,  принимается Советом депутатов в сроки, установленные пунктом 2.11 настоящего Положения.</w:t>
      </w:r>
    </w:p>
    <w:p w:rsidR="00DD497C" w:rsidRPr="00DD1B3C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граждан, подлежащих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:rsidR="00DD497C" w:rsidRPr="00DD1B3C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>Присутствовать на сходе граждан, принимать участие в обсуждении выносимых на  данном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Перед открытием схода граждан его участники регистрируются членами комиссии при предъявлении гражданином паспорта или документа его заменяющего: </w:t>
      </w:r>
    </w:p>
    <w:p w:rsidR="00DD497C" w:rsidRPr="00B04ACE" w:rsidRDefault="00DD497C" w:rsidP="00B04A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Положению;</w:t>
      </w:r>
    </w:p>
    <w:p w:rsidR="00DD497C" w:rsidRPr="00B04ACE" w:rsidRDefault="00DD497C" w:rsidP="00B04A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 на сходе граждан, вносятся в форму, установленную в приложении 4 к настоящему Положению.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Председательствует на сходе граждан председатель комиссии или </w:t>
      </w:r>
      <w:r w:rsidRPr="00B04ACE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Протокол схода ведет секретарь комиссии и обеспечивает  достоверность отраженных в нем сведений.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DD497C" w:rsidRPr="00B04ACE" w:rsidRDefault="00DD497C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DD497C" w:rsidRPr="00B04ACE" w:rsidRDefault="00DD497C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фамилии, имена, отчества председательствующего  на данном сходе, секретаря и членов комиссии, а также информация об их присутствии на данном сходе;  </w:t>
      </w:r>
    </w:p>
    <w:p w:rsidR="00DD497C" w:rsidRPr="00B04ACE" w:rsidRDefault="00DD497C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:rsidR="00DD497C" w:rsidRPr="00B04ACE" w:rsidRDefault="00DD497C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DD497C" w:rsidRPr="00B04ACE" w:rsidRDefault="00DD497C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:rsidR="00DD497C" w:rsidRPr="00B04ACE" w:rsidRDefault="00DD497C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информация о правомочности (неправомочности) схода  граждан;</w:t>
      </w:r>
    </w:p>
    <w:p w:rsidR="00DD497C" w:rsidRPr="00B04ACE" w:rsidRDefault="00DD497C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сход граждан, содержащий информацию, указанную в пункте 1.12 настоящего Положения;</w:t>
      </w:r>
    </w:p>
    <w:p w:rsidR="00DD497C" w:rsidRPr="00B04ACE" w:rsidRDefault="00DD497C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вид голосования, применяемый на данном сходе, определенный решением Совета депутатов в порядке, предусмотренном пунктами 2.10 и 2.11 настоящего Положения;</w:t>
      </w:r>
    </w:p>
    <w:p w:rsidR="00DD497C" w:rsidRPr="00B04ACE" w:rsidRDefault="00DD497C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DD497C" w:rsidRPr="00B04ACE" w:rsidRDefault="00DD497C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граждан, имеющих право голосовать, и вступает в силу в порядке, установленном Уставом </w:t>
      </w:r>
      <w:r>
        <w:rPr>
          <w:rFonts w:ascii="Times New Roman" w:hAnsi="Times New Roman"/>
          <w:sz w:val="28"/>
          <w:szCs w:val="28"/>
          <w:lang w:eastAsia="ru-RU"/>
        </w:rPr>
        <w:t>Новомамангинского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2.24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2.24 настоящего Положения, оформляется в виде отдельного решения в срок не позднее 30 дней со дня  принятия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Официальное опубликование решения, указанного в пункте 2.24 настоящего Положения, и протокола схода граждан осуществляется в течение двух месяцев со дня голосования.  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Вид голосования определяется в соответствии с пунктом 2.12 настоящего Положения.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Открытое голосование проводится путем поднятия гражданином руки на время, необходимое для подсчета голосов.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Подсчет голосов осуществляет комиссия. Результаты открытого голосования заносятся в протокол, указанный в пункте 2.22 настоящего Положения.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Тайное голосование проводится  в помещении для голосования,  где должен быть зал, в котором размещаются кабины  или иные специально оборудованные места для тайного голосования, оснащенные  системой освещения и снабженные письменными принадлежностями. Помещение должно быть доступно  для граждан с ограниченными возможностями. Применение карандашей при заполнении бюллетеней для голосования на сходе  граждан не допускается. 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позднее чем за 20 дней до дня голосования. Текст бюллетеня должен быть размещен только на одной его стороне. 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B04ACE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B04ACE">
        <w:rPr>
          <w:rFonts w:ascii="Times New Roman" w:hAnsi="Times New Roman"/>
          <w:sz w:val="28"/>
          <w:szCs w:val="28"/>
          <w:lang w:eastAsia="ru-RU"/>
        </w:rPr>
        <w:t>при предъявлении паспорта, иного документа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для тайного голосования.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DD497C" w:rsidRPr="00B04ACE" w:rsidRDefault="00DD497C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Результаты голосования заносятся в протокол.  </w:t>
      </w:r>
    </w:p>
    <w:p w:rsidR="00DD497C" w:rsidRPr="00B04ACE" w:rsidRDefault="00DD497C" w:rsidP="00B04ACE">
      <w:pPr>
        <w:pStyle w:val="ListParagraph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497C" w:rsidRPr="00B04ACE" w:rsidRDefault="00DD497C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bookmark8"/>
      <w:r w:rsidRPr="00B04ACE">
        <w:rPr>
          <w:rFonts w:ascii="Times New Roman" w:hAnsi="Times New Roman"/>
          <w:b/>
          <w:sz w:val="28"/>
          <w:szCs w:val="28"/>
          <w:lang w:eastAsia="ru-RU"/>
        </w:rPr>
        <w:t>3. Учет и сбор средств самообложения граждан</w:t>
      </w:r>
      <w:bookmarkEnd w:id="3"/>
    </w:p>
    <w:p w:rsidR="00DD497C" w:rsidRPr="00B04ACE" w:rsidRDefault="00DD497C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Новомамангинского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:rsidR="00DD497C" w:rsidRPr="00B04ACE" w:rsidRDefault="00DD497C" w:rsidP="00B04ACE">
      <w:pPr>
        <w:pStyle w:val="a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ACE">
        <w:rPr>
          <w:rFonts w:ascii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DD497C" w:rsidRPr="00B04ACE" w:rsidRDefault="00DD497C" w:rsidP="00B04ACE">
      <w:pPr>
        <w:pStyle w:val="ListParagraph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 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:rsidR="00DD497C" w:rsidRPr="00B04ACE" w:rsidRDefault="00DD497C" w:rsidP="00B04ACE">
      <w:pPr>
        <w:pStyle w:val="ListParagraph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Главным администратором доходов от разовых платежей граждан, введенных по решению о введении самообложения граждан, является администрация.</w:t>
      </w:r>
    </w:p>
    <w:p w:rsidR="00DD497C" w:rsidRPr="00B04ACE" w:rsidRDefault="00DD497C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Порядок уплаты разовых платежей по самообложению граждан утверждается постановлением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Новомамангинского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района.</w:t>
      </w:r>
    </w:p>
    <w:p w:rsidR="00DD497C" w:rsidRPr="00B04ACE" w:rsidRDefault="00DD497C" w:rsidP="00B04ACE">
      <w:pPr>
        <w:pStyle w:val="ListParagraph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DD497C" w:rsidRPr="00B04ACE" w:rsidRDefault="00DD497C" w:rsidP="00B04ACE">
      <w:pPr>
        <w:pStyle w:val="ListParagraph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Граждане, указанные в 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:rsidR="00DD497C" w:rsidRPr="00B04ACE" w:rsidRDefault="00DD497C" w:rsidP="00B04ACE">
      <w:pPr>
        <w:pStyle w:val="ListParagraph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Разовые платежи, не внесенные в установленный срок, подлежит взысканию, в порядке, установленном законодательством для взыскания невнесенных в срок неналоговых платежей.</w:t>
      </w:r>
    </w:p>
    <w:p w:rsidR="00DD497C" w:rsidRPr="00B04ACE" w:rsidRDefault="00DD497C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DD497C" w:rsidRPr="00B04ACE" w:rsidRDefault="00DD497C" w:rsidP="00B04ACE">
      <w:pPr>
        <w:pStyle w:val="ListParagraph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:rsidR="00DD497C" w:rsidRPr="00B04ACE" w:rsidRDefault="00DD497C" w:rsidP="00B04ACE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97C" w:rsidRPr="00B04ACE" w:rsidRDefault="00DD497C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bookmark9"/>
      <w:r w:rsidRPr="00B04ACE">
        <w:rPr>
          <w:rFonts w:ascii="Times New Roman" w:hAnsi="Times New Roman"/>
          <w:b/>
          <w:sz w:val="28"/>
          <w:szCs w:val="28"/>
          <w:lang w:eastAsia="ru-RU"/>
        </w:rPr>
        <w:t>4. Использование средств самообложения граждан</w:t>
      </w:r>
      <w:bookmarkEnd w:id="4"/>
    </w:p>
    <w:p w:rsidR="00DD497C" w:rsidRPr="00B04ACE" w:rsidRDefault="00DD497C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:rsidR="00DD497C" w:rsidRPr="00B04ACE" w:rsidRDefault="00DD497C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DD497C" w:rsidRPr="00B04ACE" w:rsidRDefault="00DD497C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DD497C" w:rsidRPr="00B04ACE" w:rsidRDefault="00DD497C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B04ACE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B04ACE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B04ACE">
        <w:rPr>
          <w:rFonts w:ascii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:rsidR="00DD497C" w:rsidRPr="00B04ACE" w:rsidRDefault="00DD497C" w:rsidP="00B04ACE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497C" w:rsidRPr="00B04ACE" w:rsidRDefault="00DD497C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bookmark10"/>
      <w:r w:rsidRPr="00B04ACE">
        <w:rPr>
          <w:rFonts w:ascii="Times New Roman" w:hAnsi="Times New Roman"/>
          <w:b/>
          <w:sz w:val="28"/>
          <w:szCs w:val="28"/>
          <w:lang w:eastAsia="ru-RU"/>
        </w:rPr>
        <w:t>5. Контроль за использованием средств самообложения граждан</w:t>
      </w:r>
      <w:bookmarkEnd w:id="5"/>
    </w:p>
    <w:p w:rsidR="00DD497C" w:rsidRPr="00B04ACE" w:rsidRDefault="00DD497C" w:rsidP="00B04ACE">
      <w:pPr>
        <w:pStyle w:val="ListParagraph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Контроль за использованием средств самообложения граждан осуществляется органами муниципального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Pr="00327594" w:rsidRDefault="00DD497C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Pr="00327594">
        <w:rPr>
          <w:color w:val="000000"/>
        </w:rPr>
        <w:t>Приложение 1</w:t>
      </w:r>
    </w:p>
    <w:p w:rsidR="00DD497C" w:rsidRPr="00327594" w:rsidRDefault="00DD497C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</w:t>
      </w:r>
      <w:r w:rsidRPr="00327594">
        <w:rPr>
          <w:color w:val="000000"/>
        </w:rPr>
        <w:t xml:space="preserve"> Положению о порядке</w:t>
      </w:r>
    </w:p>
    <w:p w:rsidR="00DD497C" w:rsidRPr="00327594" w:rsidRDefault="00DD497C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самообло</w:t>
      </w:r>
      <w:r w:rsidRPr="00327594">
        <w:rPr>
          <w:color w:val="000000"/>
        </w:rPr>
        <w:t>жения граждан</w:t>
      </w:r>
    </w:p>
    <w:p w:rsidR="00DD497C" w:rsidRDefault="00DD497C" w:rsidP="00196B45">
      <w:pPr>
        <w:spacing w:after="271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497C" w:rsidRDefault="00DD497C" w:rsidP="001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6B32">
        <w:rPr>
          <w:rFonts w:ascii="Times New Roman" w:hAnsi="Times New Roman"/>
          <w:b/>
          <w:sz w:val="24"/>
          <w:szCs w:val="24"/>
          <w:lang w:eastAsia="ru-RU"/>
        </w:rPr>
        <w:t>СПИСОК</w:t>
      </w:r>
    </w:p>
    <w:p w:rsidR="00DD497C" w:rsidRDefault="00DD497C" w:rsidP="00196B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инициативной группы, выступающей субъектом инициативы о проведении схода граждан по вопросу самообложения граждан на территории </w:t>
      </w:r>
    </w:p>
    <w:p w:rsidR="00DD497C" w:rsidRDefault="00DD497C" w:rsidP="00196B4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D497C" w:rsidRDefault="00DD497C" w:rsidP="00196B4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94AA9">
        <w:rPr>
          <w:rFonts w:ascii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hAnsi="Times New Roman"/>
          <w:sz w:val="16"/>
          <w:szCs w:val="16"/>
          <w:lang w:eastAsia="ru-RU"/>
        </w:rPr>
        <w:t>наименование муниципального образования</w:t>
      </w:r>
      <w:r w:rsidRPr="00B94AA9">
        <w:rPr>
          <w:rFonts w:ascii="Times New Roman" w:hAnsi="Times New Roman"/>
          <w:sz w:val="16"/>
          <w:szCs w:val="16"/>
          <w:lang w:eastAsia="ru-RU"/>
        </w:rPr>
        <w:t>)</w:t>
      </w:r>
    </w:p>
    <w:p w:rsidR="00DD497C" w:rsidRDefault="00DD497C" w:rsidP="00196B4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D497C" w:rsidRDefault="00DD497C" w:rsidP="00196B45">
      <w:pPr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97C" w:rsidRDefault="00DD497C" w:rsidP="00196B45">
      <w:pPr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Мы, </w:t>
      </w:r>
      <w:r w:rsidRPr="000F2A92">
        <w:rPr>
          <w:rFonts w:ascii="Times New Roman" w:hAnsi="Times New Roman"/>
          <w:sz w:val="24"/>
          <w:szCs w:val="24"/>
          <w:lang w:eastAsia="ru-RU"/>
        </w:rPr>
        <w:t xml:space="preserve">нижеподписавшиеся, </w:t>
      </w:r>
      <w:r>
        <w:rPr>
          <w:rFonts w:ascii="Times New Roman" w:hAnsi="Times New Roman"/>
          <w:sz w:val="24"/>
          <w:szCs w:val="24"/>
          <w:lang w:eastAsia="ru-RU"/>
        </w:rPr>
        <w:t xml:space="preserve">выступаем с </w:t>
      </w:r>
      <w:r w:rsidRPr="000F2A92">
        <w:rPr>
          <w:rFonts w:ascii="Times New Roman" w:hAnsi="Times New Roman"/>
          <w:sz w:val="24"/>
          <w:szCs w:val="24"/>
          <w:lang w:eastAsia="ru-RU"/>
        </w:rPr>
        <w:t>инициатив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0F2A92">
        <w:rPr>
          <w:rFonts w:ascii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/>
          <w:sz w:val="24"/>
          <w:szCs w:val="24"/>
          <w:lang w:eastAsia="ru-RU"/>
        </w:rPr>
        <w:t xml:space="preserve">оведения </w:t>
      </w:r>
      <w:r w:rsidRPr="000F2A92">
        <w:rPr>
          <w:rFonts w:ascii="Times New Roman" w:hAnsi="Times New Roman"/>
          <w:sz w:val="24"/>
          <w:szCs w:val="24"/>
          <w:lang w:eastAsia="ru-RU"/>
        </w:rPr>
        <w:t>схода граждан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F2A9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0F2A9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</w:t>
      </w:r>
      <w:r w:rsidRPr="000F2A9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__ </w:t>
      </w:r>
      <w:r w:rsidRPr="000F2A92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F2A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введению самообложения граждан, сбору и использованию средств самообложения граждан для решения вопроса (вопросов) местного значения, изложенного (изложенных) в ходатайстве о проведении схода граждан по вопросу самообложения от </w:t>
      </w:r>
      <w:r w:rsidRPr="000F2A9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0F2A9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</w:t>
      </w:r>
      <w:r w:rsidRPr="000F2A9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__ </w:t>
      </w:r>
      <w:r w:rsidRPr="000F2A92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ода.</w:t>
      </w:r>
    </w:p>
    <w:p w:rsidR="00DD497C" w:rsidRDefault="00DD497C" w:rsidP="00196B45">
      <w:pPr>
        <w:spacing w:after="0" w:line="274" w:lineRule="exact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36"/>
        <w:gridCol w:w="1269"/>
        <w:gridCol w:w="1383"/>
        <w:gridCol w:w="2070"/>
        <w:gridCol w:w="1145"/>
        <w:gridCol w:w="1120"/>
      </w:tblGrid>
      <w:tr w:rsidR="00DD497C" w:rsidRPr="00A33B8B" w:rsidTr="005E58A4">
        <w:tc>
          <w:tcPr>
            <w:tcW w:w="540" w:type="dxa"/>
            <w:vAlign w:val="center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6" w:type="dxa"/>
            <w:vAlign w:val="center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69" w:type="dxa"/>
            <w:vAlign w:val="center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3" w:type="dxa"/>
            <w:vAlign w:val="center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070" w:type="dxa"/>
            <w:vAlign w:val="center"/>
          </w:tcPr>
          <w:p w:rsidR="00DD497C" w:rsidRPr="00A33B8B" w:rsidRDefault="00DD497C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46B">
              <w:rPr>
                <w:rFonts w:ascii="Times New Roman" w:hAnsi="Times New Roman"/>
                <w:sz w:val="24"/>
                <w:szCs w:val="24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145" w:type="dxa"/>
            <w:vAlign w:val="center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1120" w:type="dxa"/>
            <w:vAlign w:val="center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DD497C" w:rsidRPr="00A33B8B" w:rsidTr="005E58A4">
        <w:trPr>
          <w:trHeight w:val="680"/>
        </w:trPr>
        <w:tc>
          <w:tcPr>
            <w:tcW w:w="540" w:type="dxa"/>
          </w:tcPr>
          <w:p w:rsidR="00DD497C" w:rsidRPr="00A33B8B" w:rsidRDefault="00DD497C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D497C" w:rsidRPr="00A33B8B" w:rsidRDefault="00DD497C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7C" w:rsidRPr="00A33B8B" w:rsidTr="005E58A4">
        <w:trPr>
          <w:trHeight w:val="680"/>
        </w:trPr>
        <w:tc>
          <w:tcPr>
            <w:tcW w:w="540" w:type="dxa"/>
          </w:tcPr>
          <w:p w:rsidR="00DD497C" w:rsidRPr="00A33B8B" w:rsidRDefault="00DD497C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D497C" w:rsidRPr="00A33B8B" w:rsidRDefault="00DD497C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7C" w:rsidRPr="00A33B8B" w:rsidTr="005E58A4">
        <w:trPr>
          <w:trHeight w:val="680"/>
        </w:trPr>
        <w:tc>
          <w:tcPr>
            <w:tcW w:w="540" w:type="dxa"/>
          </w:tcPr>
          <w:p w:rsidR="00DD497C" w:rsidRPr="00A33B8B" w:rsidRDefault="00DD497C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D497C" w:rsidRPr="00A33B8B" w:rsidRDefault="00DD497C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7C" w:rsidRPr="00A33B8B" w:rsidTr="005E58A4">
        <w:trPr>
          <w:trHeight w:val="680"/>
        </w:trPr>
        <w:tc>
          <w:tcPr>
            <w:tcW w:w="540" w:type="dxa"/>
          </w:tcPr>
          <w:p w:rsidR="00DD497C" w:rsidRPr="00A33B8B" w:rsidRDefault="00DD497C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D497C" w:rsidRPr="00A33B8B" w:rsidRDefault="00DD497C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7C" w:rsidRPr="00A33B8B" w:rsidTr="005E58A4">
        <w:trPr>
          <w:trHeight w:val="680"/>
        </w:trPr>
        <w:tc>
          <w:tcPr>
            <w:tcW w:w="540" w:type="dxa"/>
          </w:tcPr>
          <w:p w:rsidR="00DD497C" w:rsidRPr="00A33B8B" w:rsidRDefault="00DD497C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D497C" w:rsidRPr="00A33B8B" w:rsidRDefault="00DD497C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7C" w:rsidRPr="00A33B8B" w:rsidTr="005E58A4">
        <w:trPr>
          <w:trHeight w:val="680"/>
        </w:trPr>
        <w:tc>
          <w:tcPr>
            <w:tcW w:w="540" w:type="dxa"/>
          </w:tcPr>
          <w:p w:rsidR="00DD497C" w:rsidRPr="00A33B8B" w:rsidRDefault="00DD497C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D497C" w:rsidRPr="00A33B8B" w:rsidRDefault="00DD497C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7C" w:rsidRPr="00A33B8B" w:rsidTr="005E58A4">
        <w:trPr>
          <w:trHeight w:val="680"/>
        </w:trPr>
        <w:tc>
          <w:tcPr>
            <w:tcW w:w="540" w:type="dxa"/>
          </w:tcPr>
          <w:p w:rsidR="00DD497C" w:rsidRPr="00A33B8B" w:rsidRDefault="00DD497C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D497C" w:rsidRPr="00A33B8B" w:rsidRDefault="00DD497C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7C" w:rsidRPr="00A33B8B" w:rsidTr="005E58A4">
        <w:trPr>
          <w:trHeight w:val="680"/>
        </w:trPr>
        <w:tc>
          <w:tcPr>
            <w:tcW w:w="540" w:type="dxa"/>
          </w:tcPr>
          <w:p w:rsidR="00DD497C" w:rsidRPr="00A33B8B" w:rsidRDefault="00DD497C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D497C" w:rsidRPr="00A33B8B" w:rsidRDefault="00DD497C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7C" w:rsidRPr="00A33B8B" w:rsidTr="005E58A4">
        <w:trPr>
          <w:trHeight w:val="680"/>
        </w:trPr>
        <w:tc>
          <w:tcPr>
            <w:tcW w:w="540" w:type="dxa"/>
          </w:tcPr>
          <w:p w:rsidR="00DD497C" w:rsidRPr="00A33B8B" w:rsidRDefault="00DD497C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D497C" w:rsidRPr="00A33B8B" w:rsidRDefault="00DD497C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97C" w:rsidRPr="00A33B8B" w:rsidTr="005E58A4">
        <w:trPr>
          <w:trHeight w:val="680"/>
        </w:trPr>
        <w:tc>
          <w:tcPr>
            <w:tcW w:w="540" w:type="dxa"/>
          </w:tcPr>
          <w:p w:rsidR="00DD497C" w:rsidRPr="00A33B8B" w:rsidRDefault="00DD497C" w:rsidP="00196B45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D497C" w:rsidRPr="00A33B8B" w:rsidRDefault="00DD497C" w:rsidP="005E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DD497C" w:rsidRPr="00A33B8B" w:rsidRDefault="00DD497C" w:rsidP="005E58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497C" w:rsidRDefault="00DD497C" w:rsidP="00196B45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D497C" w:rsidRDefault="00DD497C" w:rsidP="00196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D497C" w:rsidSect="005F03C1">
          <w:pgSz w:w="11905" w:h="16837"/>
          <w:pgMar w:top="1184" w:right="848" w:bottom="993" w:left="1701" w:header="0" w:footer="3" w:gutter="0"/>
          <w:cols w:space="720"/>
          <w:noEndnote/>
          <w:docGrid w:linePitch="360"/>
        </w:sectPr>
      </w:pPr>
    </w:p>
    <w:p w:rsidR="00DD497C" w:rsidRPr="00327594" w:rsidRDefault="00DD497C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DD497C" w:rsidRPr="00327594" w:rsidRDefault="00DD497C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</w:t>
      </w:r>
      <w:r w:rsidRPr="00327594">
        <w:rPr>
          <w:color w:val="000000"/>
        </w:rPr>
        <w:t xml:space="preserve"> Положению о порядке</w:t>
      </w:r>
    </w:p>
    <w:p w:rsidR="00DD497C" w:rsidRPr="00327594" w:rsidRDefault="00DD497C" w:rsidP="00327594">
      <w:pPr>
        <w:pStyle w:val="s1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самообло</w:t>
      </w:r>
      <w:r w:rsidRPr="00327594">
        <w:rPr>
          <w:color w:val="000000"/>
        </w:rPr>
        <w:t>жения граждан</w:t>
      </w:r>
    </w:p>
    <w:p w:rsidR="00DD497C" w:rsidRDefault="00DD497C" w:rsidP="00196B45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497C" w:rsidRDefault="00DD497C" w:rsidP="001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6B32">
        <w:rPr>
          <w:rFonts w:ascii="Times New Roman" w:hAnsi="Times New Roman"/>
          <w:b/>
          <w:sz w:val="24"/>
          <w:szCs w:val="24"/>
          <w:lang w:eastAsia="ru-RU"/>
        </w:rPr>
        <w:t>ПОДПИСНОЙ ЛИСТ</w:t>
      </w:r>
    </w:p>
    <w:p w:rsidR="00DD497C" w:rsidRDefault="00DD497C" w:rsidP="001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D497C" w:rsidRPr="00A33B8B" w:rsidRDefault="00DD497C" w:rsidP="00196B4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33B8B">
        <w:rPr>
          <w:rFonts w:ascii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hAnsi="Times New Roman"/>
          <w:sz w:val="16"/>
          <w:szCs w:val="16"/>
          <w:lang w:eastAsia="ru-RU"/>
        </w:rPr>
        <w:t>наименование муниципального образования)</w:t>
      </w:r>
    </w:p>
    <w:p w:rsidR="00DD497C" w:rsidRPr="00D06B32" w:rsidRDefault="00DD497C" w:rsidP="001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497C" w:rsidRDefault="00DD497C" w:rsidP="00196B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608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8"/>
      </w:tblGrid>
      <w:tr w:rsidR="00DD497C" w:rsidRPr="00A33B8B" w:rsidTr="005E58A4">
        <w:trPr>
          <w:trHeight w:val="567"/>
        </w:trPr>
        <w:tc>
          <w:tcPr>
            <w:tcW w:w="13608" w:type="dxa"/>
            <w:vAlign w:val="bottom"/>
          </w:tcPr>
          <w:p w:rsidR="00DD497C" w:rsidRPr="00A33B8B" w:rsidRDefault="00DD497C" w:rsidP="005E5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Мы, нижеподписавшиеся, поддерживаем инициативу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схода граждан </w:t>
            </w:r>
            <w:r w:rsidRPr="00A33B8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3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A33B8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3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вопросу (вопросам):</w:t>
            </w:r>
          </w:p>
        </w:tc>
      </w:tr>
      <w:tr w:rsidR="00DD497C" w:rsidRPr="00A33B8B" w:rsidTr="005E58A4">
        <w:trPr>
          <w:trHeight w:val="567"/>
        </w:trPr>
        <w:tc>
          <w:tcPr>
            <w:tcW w:w="13608" w:type="dxa"/>
            <w:vAlign w:val="bottom"/>
          </w:tcPr>
          <w:p w:rsidR="00DD497C" w:rsidRPr="00A33B8B" w:rsidRDefault="00DD497C" w:rsidP="005E5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97C" w:rsidRPr="00A33B8B" w:rsidTr="005E58A4">
        <w:trPr>
          <w:trHeight w:val="567"/>
        </w:trPr>
        <w:tc>
          <w:tcPr>
            <w:tcW w:w="13608" w:type="dxa"/>
          </w:tcPr>
          <w:p w:rsidR="00DD497C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DB6">
              <w:rPr>
                <w:rFonts w:ascii="Times New Roman" w:hAnsi="Times New Roman"/>
                <w:sz w:val="16"/>
                <w:szCs w:val="16"/>
                <w:lang w:eastAsia="ru-RU"/>
              </w:rPr>
              <w:t>(вопрос (вопросы) схода граждан)</w:t>
            </w:r>
          </w:p>
          <w:p w:rsidR="00DD497C" w:rsidRPr="00012DB6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D497C" w:rsidRDefault="00DD497C" w:rsidP="00196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97C" w:rsidRPr="000F2A92" w:rsidRDefault="00DD497C" w:rsidP="00196B45">
      <w:pPr>
        <w:spacing w:after="0" w:line="274" w:lineRule="exact"/>
        <w:rPr>
          <w:rFonts w:ascii="Times New Roman" w:hAnsi="Times New Roman"/>
          <w:sz w:val="24"/>
          <w:szCs w:val="24"/>
          <w:lang w:eastAsia="ru-RU"/>
        </w:rPr>
      </w:pPr>
      <w:r w:rsidRPr="000F2A92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45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311"/>
        <w:gridCol w:w="1492"/>
        <w:gridCol w:w="2759"/>
        <w:gridCol w:w="3546"/>
        <w:gridCol w:w="1568"/>
        <w:gridCol w:w="1201"/>
      </w:tblGrid>
      <w:tr w:rsidR="00DD497C" w:rsidRPr="00F75193" w:rsidTr="005E58A4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97C" w:rsidRDefault="00DD497C" w:rsidP="00196B45">
      <w:pPr>
        <w:rPr>
          <w:sz w:val="12"/>
          <w:szCs w:val="12"/>
        </w:rPr>
      </w:pPr>
    </w:p>
    <w:tbl>
      <w:tblPr>
        <w:tblW w:w="14601" w:type="dxa"/>
        <w:tblInd w:w="108" w:type="dxa"/>
        <w:tblLook w:val="00A0"/>
      </w:tblPr>
      <w:tblGrid>
        <w:gridCol w:w="3719"/>
        <w:gridCol w:w="10882"/>
      </w:tblGrid>
      <w:tr w:rsidR="00DD497C" w:rsidRPr="00F75193" w:rsidTr="005E58A4">
        <w:trPr>
          <w:trHeight w:val="567"/>
        </w:trPr>
        <w:tc>
          <w:tcPr>
            <w:tcW w:w="3719" w:type="dxa"/>
          </w:tcPr>
          <w:p w:rsidR="00DD497C" w:rsidRPr="00F75193" w:rsidRDefault="00DD497C" w:rsidP="005E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0882" w:type="dxa"/>
            <w:tcBorders>
              <w:bottom w:val="single" w:sz="4" w:space="0" w:color="auto"/>
            </w:tcBorders>
          </w:tcPr>
          <w:p w:rsidR="00DD497C" w:rsidRPr="00F75193" w:rsidRDefault="00DD497C" w:rsidP="005E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F75193" w:rsidTr="005E58A4">
        <w:tc>
          <w:tcPr>
            <w:tcW w:w="3719" w:type="dxa"/>
          </w:tcPr>
          <w:p w:rsidR="00DD497C" w:rsidRPr="00F75193" w:rsidRDefault="00DD497C" w:rsidP="005E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bottom w:val="single" w:sz="4" w:space="0" w:color="auto"/>
            </w:tcBorders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193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97C" w:rsidRDefault="00DD497C" w:rsidP="00196B45">
      <w:pPr>
        <w:rPr>
          <w:sz w:val="12"/>
          <w:szCs w:val="12"/>
        </w:rPr>
        <w:sectPr w:rsidR="00DD497C" w:rsidSect="00D621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395" w:type="dxa"/>
        <w:jc w:val="right"/>
        <w:tblInd w:w="5211" w:type="dxa"/>
        <w:tblLook w:val="00A0"/>
      </w:tblPr>
      <w:tblGrid>
        <w:gridCol w:w="4395"/>
      </w:tblGrid>
      <w:tr w:rsidR="00DD497C" w:rsidTr="009B3FE4">
        <w:trPr>
          <w:jc w:val="right"/>
        </w:trPr>
        <w:tc>
          <w:tcPr>
            <w:tcW w:w="4395" w:type="dxa"/>
          </w:tcPr>
          <w:p w:rsidR="00DD497C" w:rsidRDefault="00DD497C" w:rsidP="009B3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3 </w:t>
            </w:r>
          </w:p>
          <w:p w:rsidR="00DD497C" w:rsidRDefault="00DD497C" w:rsidP="009B3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D497C" w:rsidRPr="00431FF7" w:rsidRDefault="00DD497C" w:rsidP="009B3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D497C" w:rsidRDefault="00DD497C" w:rsidP="00196B45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497C" w:rsidRDefault="00DD497C" w:rsidP="001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DD497C" w:rsidRPr="0077712C" w:rsidRDefault="00DD497C" w:rsidP="00196B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712C">
        <w:rPr>
          <w:rFonts w:ascii="Times New Roman" w:hAnsi="Times New Roman"/>
          <w:sz w:val="24"/>
          <w:szCs w:val="24"/>
          <w:lang w:eastAsia="ru-RU"/>
        </w:rPr>
        <w:t>о гражданах, имеющих право голосовать на сходе граждан</w:t>
      </w:r>
    </w:p>
    <w:p w:rsidR="00DD497C" w:rsidRDefault="00DD497C" w:rsidP="001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D497C" w:rsidRPr="00A33B8B" w:rsidRDefault="00DD497C" w:rsidP="00196B4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33B8B">
        <w:rPr>
          <w:rFonts w:ascii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hAnsi="Times New Roman"/>
          <w:sz w:val="16"/>
          <w:szCs w:val="16"/>
          <w:lang w:eastAsia="ru-RU"/>
        </w:rPr>
        <w:t>наименование муниципального образования)</w:t>
      </w:r>
    </w:p>
    <w:p w:rsidR="00DD497C" w:rsidRPr="00D06B32" w:rsidRDefault="00DD497C" w:rsidP="001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497C" w:rsidRPr="000F2A92" w:rsidRDefault="00DD497C" w:rsidP="00196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2A92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DD497C" w:rsidRPr="00F75193" w:rsidTr="005E58A4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97C" w:rsidRDefault="00DD497C" w:rsidP="001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97C" w:rsidRPr="0077712C" w:rsidRDefault="00DD497C" w:rsidP="00196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12C">
        <w:rPr>
          <w:rFonts w:ascii="Times New Roman" w:hAnsi="Times New Roman"/>
          <w:sz w:val="24"/>
          <w:szCs w:val="24"/>
        </w:rPr>
        <w:t>Удостоверяю:</w:t>
      </w:r>
    </w:p>
    <w:tbl>
      <w:tblPr>
        <w:tblW w:w="9639" w:type="dxa"/>
        <w:tblInd w:w="108" w:type="dxa"/>
        <w:tblLook w:val="00A0"/>
      </w:tblPr>
      <w:tblGrid>
        <w:gridCol w:w="3369"/>
        <w:gridCol w:w="317"/>
        <w:gridCol w:w="2551"/>
        <w:gridCol w:w="387"/>
        <w:gridCol w:w="3015"/>
      </w:tblGrid>
      <w:tr w:rsidR="00DD497C" w:rsidTr="00407159">
        <w:tc>
          <w:tcPr>
            <w:tcW w:w="3369" w:type="dxa"/>
            <w:tcBorders>
              <w:bottom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Tr="00407159">
        <w:tc>
          <w:tcPr>
            <w:tcW w:w="3369" w:type="dxa"/>
            <w:tcBorders>
              <w:top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159"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15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159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DD497C" w:rsidTr="00407159">
        <w:tc>
          <w:tcPr>
            <w:tcW w:w="3369" w:type="dxa"/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7159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 20__ г.</w:t>
            </w:r>
          </w:p>
        </w:tc>
        <w:tc>
          <w:tcPr>
            <w:tcW w:w="317" w:type="dxa"/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497C" w:rsidTr="00407159">
        <w:tc>
          <w:tcPr>
            <w:tcW w:w="3369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497C" w:rsidRDefault="00DD497C" w:rsidP="00196B45">
      <w:pPr>
        <w:spacing w:after="0" w:line="240" w:lineRule="auto"/>
      </w:pPr>
      <w:r>
        <w:br w:type="page"/>
      </w:r>
    </w:p>
    <w:p w:rsidR="00DD497C" w:rsidRDefault="00DD497C" w:rsidP="003275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</w:t>
      </w:r>
    </w:p>
    <w:p w:rsidR="00DD497C" w:rsidRDefault="00DD497C" w:rsidP="003275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</w:t>
      </w:r>
    </w:p>
    <w:p w:rsidR="00DD497C" w:rsidRDefault="00DD497C" w:rsidP="00327594">
      <w:pPr>
        <w:pStyle w:val="s1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t>самообложения граждан</w:t>
      </w:r>
    </w:p>
    <w:p w:rsidR="00DD497C" w:rsidRPr="0077712C" w:rsidRDefault="00DD497C" w:rsidP="001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712C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DD497C" w:rsidRDefault="00DD497C" w:rsidP="001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712C">
        <w:rPr>
          <w:rFonts w:ascii="Times New Roman" w:hAnsi="Times New Roman"/>
          <w:sz w:val="24"/>
          <w:szCs w:val="24"/>
          <w:lang w:eastAsia="ru-RU"/>
        </w:rPr>
        <w:t>о гражданах, имеющих право присутствовать и принимать участие в обсуждении вопросов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7712C">
        <w:rPr>
          <w:rFonts w:ascii="Times New Roman" w:hAnsi="Times New Roman"/>
          <w:sz w:val="24"/>
          <w:szCs w:val="24"/>
          <w:lang w:eastAsia="ru-RU"/>
        </w:rPr>
        <w:t xml:space="preserve">на сходе граждан </w:t>
      </w:r>
      <w:bookmarkStart w:id="6" w:name="_GoBack"/>
      <w:bookmarkEnd w:id="6"/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D497C" w:rsidRPr="00A33B8B" w:rsidRDefault="00DD497C" w:rsidP="00196B4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33B8B">
        <w:rPr>
          <w:rFonts w:ascii="Times New Roman" w:hAnsi="Times New Roman"/>
          <w:sz w:val="16"/>
          <w:szCs w:val="16"/>
          <w:lang w:eastAsia="ru-RU"/>
        </w:rPr>
        <w:t xml:space="preserve">(указывается наименование населенного пункта, </w:t>
      </w:r>
      <w:r>
        <w:rPr>
          <w:rFonts w:ascii="Times New Roman" w:hAnsi="Times New Roman"/>
          <w:sz w:val="16"/>
          <w:szCs w:val="16"/>
          <w:lang w:eastAsia="ru-RU"/>
        </w:rPr>
        <w:t>наименование муниципального образования)</w:t>
      </w:r>
    </w:p>
    <w:p w:rsidR="00DD497C" w:rsidRPr="00D06B32" w:rsidRDefault="00DD497C" w:rsidP="001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497C" w:rsidRPr="000F2A92" w:rsidRDefault="00DD497C" w:rsidP="00196B45">
      <w:pPr>
        <w:spacing w:after="0" w:line="274" w:lineRule="exact"/>
        <w:rPr>
          <w:rFonts w:ascii="Times New Roman" w:hAnsi="Times New Roman"/>
          <w:sz w:val="24"/>
          <w:szCs w:val="24"/>
          <w:lang w:eastAsia="ru-RU"/>
        </w:rPr>
      </w:pPr>
      <w:r w:rsidRPr="000F2A92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DD497C" w:rsidRPr="00F75193" w:rsidTr="005E58A4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RPr="003C2D12" w:rsidTr="005E58A4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497C" w:rsidRPr="00F75193" w:rsidRDefault="00DD497C" w:rsidP="005E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97C" w:rsidRDefault="00DD497C" w:rsidP="001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97C" w:rsidRPr="0077712C" w:rsidRDefault="00DD497C" w:rsidP="00196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12C">
        <w:rPr>
          <w:rFonts w:ascii="Times New Roman" w:hAnsi="Times New Roman"/>
          <w:sz w:val="24"/>
          <w:szCs w:val="24"/>
        </w:rPr>
        <w:t>Удостоверяю:</w:t>
      </w:r>
    </w:p>
    <w:tbl>
      <w:tblPr>
        <w:tblW w:w="9639" w:type="dxa"/>
        <w:tblInd w:w="108" w:type="dxa"/>
        <w:tblLook w:val="00A0"/>
      </w:tblPr>
      <w:tblGrid>
        <w:gridCol w:w="3369"/>
        <w:gridCol w:w="317"/>
        <w:gridCol w:w="2551"/>
        <w:gridCol w:w="387"/>
        <w:gridCol w:w="3015"/>
      </w:tblGrid>
      <w:tr w:rsidR="00DD497C" w:rsidTr="00407159">
        <w:tc>
          <w:tcPr>
            <w:tcW w:w="3369" w:type="dxa"/>
            <w:tcBorders>
              <w:bottom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97C" w:rsidTr="00407159">
        <w:tc>
          <w:tcPr>
            <w:tcW w:w="3369" w:type="dxa"/>
            <w:tcBorders>
              <w:top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159"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15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159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DD497C" w:rsidTr="00407159">
        <w:tc>
          <w:tcPr>
            <w:tcW w:w="3369" w:type="dxa"/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7159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 20__ г.</w:t>
            </w:r>
          </w:p>
        </w:tc>
        <w:tc>
          <w:tcPr>
            <w:tcW w:w="317" w:type="dxa"/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DD497C" w:rsidRPr="00407159" w:rsidRDefault="00DD497C" w:rsidP="00407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497C" w:rsidTr="00407159">
        <w:tc>
          <w:tcPr>
            <w:tcW w:w="3369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DD497C" w:rsidRPr="00407159" w:rsidRDefault="00DD497C" w:rsidP="004071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497C" w:rsidRPr="00D6214C" w:rsidRDefault="00DD497C" w:rsidP="00196B45">
      <w:pPr>
        <w:spacing w:after="0" w:line="240" w:lineRule="auto"/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97C" w:rsidRPr="00B04ACE" w:rsidRDefault="00DD497C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497C" w:rsidRPr="00B04ACE" w:rsidSect="00707D1B">
      <w:headerReference w:type="first" r:id="rId7"/>
      <w:endnotePr>
        <w:numFmt w:val="chicago"/>
      </w:end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7C" w:rsidRDefault="00DD497C" w:rsidP="00DF4966">
      <w:pPr>
        <w:spacing w:after="0" w:line="240" w:lineRule="auto"/>
      </w:pPr>
      <w:r>
        <w:separator/>
      </w:r>
    </w:p>
  </w:endnote>
  <w:endnote w:type="continuationSeparator" w:id="0">
    <w:p w:rsidR="00DD497C" w:rsidRDefault="00DD497C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7C" w:rsidRDefault="00DD497C" w:rsidP="00DF4966">
      <w:pPr>
        <w:spacing w:after="0" w:line="240" w:lineRule="auto"/>
      </w:pPr>
      <w:r>
        <w:separator/>
      </w:r>
    </w:p>
  </w:footnote>
  <w:footnote w:type="continuationSeparator" w:id="0">
    <w:p w:rsidR="00DD497C" w:rsidRDefault="00DD497C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7C" w:rsidRDefault="00DD497C">
    <w:pPr>
      <w:pStyle w:val="Header"/>
      <w:jc w:val="center"/>
    </w:pPr>
  </w:p>
  <w:p w:rsidR="00DD497C" w:rsidRDefault="00DD49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9C5575"/>
    <w:multiLevelType w:val="hybridMultilevel"/>
    <w:tmpl w:val="D79CF7EA"/>
    <w:lvl w:ilvl="0" w:tplc="F8F6BD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EA147A"/>
    <w:multiLevelType w:val="multilevel"/>
    <w:tmpl w:val="9D646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2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23">
    <w:nsid w:val="6EF331B1"/>
    <w:multiLevelType w:val="multilevel"/>
    <w:tmpl w:val="A62210A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4"/>
  </w:num>
  <w:num w:numId="14">
    <w:abstractNumId w:val="25"/>
  </w:num>
  <w:num w:numId="15">
    <w:abstractNumId w:val="13"/>
  </w:num>
  <w:num w:numId="16">
    <w:abstractNumId w:val="0"/>
  </w:num>
  <w:num w:numId="17">
    <w:abstractNumId w:val="4"/>
  </w:num>
  <w:num w:numId="18">
    <w:abstractNumId w:val="1"/>
  </w:num>
  <w:num w:numId="19">
    <w:abstractNumId w:val="11"/>
  </w:num>
  <w:num w:numId="20">
    <w:abstractNumId w:val="19"/>
  </w:num>
  <w:num w:numId="21">
    <w:abstractNumId w:val="20"/>
  </w:num>
  <w:num w:numId="22">
    <w:abstractNumId w:val="5"/>
  </w:num>
  <w:num w:numId="23">
    <w:abstractNumId w:val="9"/>
  </w:num>
  <w:num w:numId="24">
    <w:abstractNumId w:val="15"/>
  </w:num>
  <w:num w:numId="25">
    <w:abstractNumId w:val="12"/>
  </w:num>
  <w:num w:numId="26">
    <w:abstractNumId w:val="2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498"/>
    <w:rsid w:val="000045CE"/>
    <w:rsid w:val="000051DA"/>
    <w:rsid w:val="000122D2"/>
    <w:rsid w:val="00012DB6"/>
    <w:rsid w:val="00017691"/>
    <w:rsid w:val="000436FE"/>
    <w:rsid w:val="00055F09"/>
    <w:rsid w:val="0008178B"/>
    <w:rsid w:val="000A1476"/>
    <w:rsid w:val="000C0F31"/>
    <w:rsid w:val="000D0017"/>
    <w:rsid w:val="000D7BCA"/>
    <w:rsid w:val="000F2A92"/>
    <w:rsid w:val="00110622"/>
    <w:rsid w:val="00125E4D"/>
    <w:rsid w:val="001519CC"/>
    <w:rsid w:val="0015344C"/>
    <w:rsid w:val="00175F7B"/>
    <w:rsid w:val="00176718"/>
    <w:rsid w:val="00194DD0"/>
    <w:rsid w:val="00196B45"/>
    <w:rsid w:val="001A2510"/>
    <w:rsid w:val="002059F9"/>
    <w:rsid w:val="002321DC"/>
    <w:rsid w:val="00246F48"/>
    <w:rsid w:val="00256569"/>
    <w:rsid w:val="00275CB1"/>
    <w:rsid w:val="002C0DA3"/>
    <w:rsid w:val="002C46DF"/>
    <w:rsid w:val="003016C1"/>
    <w:rsid w:val="00307987"/>
    <w:rsid w:val="00313F7C"/>
    <w:rsid w:val="00327594"/>
    <w:rsid w:val="003500C9"/>
    <w:rsid w:val="00367520"/>
    <w:rsid w:val="00367BC0"/>
    <w:rsid w:val="00372F46"/>
    <w:rsid w:val="003A3EAA"/>
    <w:rsid w:val="003B3CAB"/>
    <w:rsid w:val="003B4024"/>
    <w:rsid w:val="003C2D12"/>
    <w:rsid w:val="003D446B"/>
    <w:rsid w:val="003F3203"/>
    <w:rsid w:val="004009CC"/>
    <w:rsid w:val="0040138D"/>
    <w:rsid w:val="00407159"/>
    <w:rsid w:val="00430C45"/>
    <w:rsid w:val="00431FF7"/>
    <w:rsid w:val="00440768"/>
    <w:rsid w:val="004548DA"/>
    <w:rsid w:val="00457EF3"/>
    <w:rsid w:val="00462C4B"/>
    <w:rsid w:val="00471D85"/>
    <w:rsid w:val="004775AE"/>
    <w:rsid w:val="0048697D"/>
    <w:rsid w:val="00494E6A"/>
    <w:rsid w:val="004A1258"/>
    <w:rsid w:val="004B405A"/>
    <w:rsid w:val="004C0714"/>
    <w:rsid w:val="004C51E6"/>
    <w:rsid w:val="004E2595"/>
    <w:rsid w:val="004F557C"/>
    <w:rsid w:val="004F6CFA"/>
    <w:rsid w:val="00503292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6756C"/>
    <w:rsid w:val="00587E26"/>
    <w:rsid w:val="00594868"/>
    <w:rsid w:val="00594AE7"/>
    <w:rsid w:val="005D58C1"/>
    <w:rsid w:val="005E58A4"/>
    <w:rsid w:val="005F03C1"/>
    <w:rsid w:val="005F6FC6"/>
    <w:rsid w:val="006516CE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07D1B"/>
    <w:rsid w:val="00713063"/>
    <w:rsid w:val="007313E6"/>
    <w:rsid w:val="00763B28"/>
    <w:rsid w:val="00771309"/>
    <w:rsid w:val="0077712C"/>
    <w:rsid w:val="007A5987"/>
    <w:rsid w:val="007A7B49"/>
    <w:rsid w:val="007D6786"/>
    <w:rsid w:val="007D78B8"/>
    <w:rsid w:val="007E7290"/>
    <w:rsid w:val="0081391D"/>
    <w:rsid w:val="00815C9B"/>
    <w:rsid w:val="0084232C"/>
    <w:rsid w:val="0085596F"/>
    <w:rsid w:val="00871A25"/>
    <w:rsid w:val="00874E80"/>
    <w:rsid w:val="00893465"/>
    <w:rsid w:val="008D68C2"/>
    <w:rsid w:val="008E4593"/>
    <w:rsid w:val="008F166E"/>
    <w:rsid w:val="008F2B69"/>
    <w:rsid w:val="009014B7"/>
    <w:rsid w:val="009103D2"/>
    <w:rsid w:val="00971931"/>
    <w:rsid w:val="009B3FE4"/>
    <w:rsid w:val="009C084A"/>
    <w:rsid w:val="009D00DA"/>
    <w:rsid w:val="009D367B"/>
    <w:rsid w:val="009D78FD"/>
    <w:rsid w:val="009E53E4"/>
    <w:rsid w:val="00A02EA3"/>
    <w:rsid w:val="00A33B8B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6DC7"/>
    <w:rsid w:val="00AC5269"/>
    <w:rsid w:val="00AE1D8A"/>
    <w:rsid w:val="00AF2AE2"/>
    <w:rsid w:val="00B04ACE"/>
    <w:rsid w:val="00B0635F"/>
    <w:rsid w:val="00B25C53"/>
    <w:rsid w:val="00B31658"/>
    <w:rsid w:val="00B3526C"/>
    <w:rsid w:val="00B37194"/>
    <w:rsid w:val="00B448C5"/>
    <w:rsid w:val="00B65D1D"/>
    <w:rsid w:val="00B85C11"/>
    <w:rsid w:val="00B94AA9"/>
    <w:rsid w:val="00C31727"/>
    <w:rsid w:val="00C413D2"/>
    <w:rsid w:val="00C50E17"/>
    <w:rsid w:val="00C516B1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2D70"/>
    <w:rsid w:val="00CC66ED"/>
    <w:rsid w:val="00CD4C46"/>
    <w:rsid w:val="00CD610C"/>
    <w:rsid w:val="00CE7C52"/>
    <w:rsid w:val="00D06B32"/>
    <w:rsid w:val="00D50835"/>
    <w:rsid w:val="00D56E31"/>
    <w:rsid w:val="00D570F3"/>
    <w:rsid w:val="00D6214C"/>
    <w:rsid w:val="00D7175F"/>
    <w:rsid w:val="00D74130"/>
    <w:rsid w:val="00D84E84"/>
    <w:rsid w:val="00D85437"/>
    <w:rsid w:val="00D86477"/>
    <w:rsid w:val="00D96926"/>
    <w:rsid w:val="00DA0B6F"/>
    <w:rsid w:val="00DA7E41"/>
    <w:rsid w:val="00DB3E61"/>
    <w:rsid w:val="00DC18AB"/>
    <w:rsid w:val="00DD1B3C"/>
    <w:rsid w:val="00DD26D3"/>
    <w:rsid w:val="00DD307F"/>
    <w:rsid w:val="00DD497C"/>
    <w:rsid w:val="00DD7D22"/>
    <w:rsid w:val="00DE4565"/>
    <w:rsid w:val="00DF16C8"/>
    <w:rsid w:val="00DF4966"/>
    <w:rsid w:val="00E068AC"/>
    <w:rsid w:val="00E07387"/>
    <w:rsid w:val="00E101DB"/>
    <w:rsid w:val="00E12F5F"/>
    <w:rsid w:val="00E16CD3"/>
    <w:rsid w:val="00E20393"/>
    <w:rsid w:val="00E21308"/>
    <w:rsid w:val="00E24EEE"/>
    <w:rsid w:val="00E426A1"/>
    <w:rsid w:val="00E44E8B"/>
    <w:rsid w:val="00E56286"/>
    <w:rsid w:val="00E931E5"/>
    <w:rsid w:val="00EB0482"/>
    <w:rsid w:val="00EC7455"/>
    <w:rsid w:val="00ED480B"/>
    <w:rsid w:val="00EE4D77"/>
    <w:rsid w:val="00EF5B17"/>
    <w:rsid w:val="00F026F8"/>
    <w:rsid w:val="00F02F1D"/>
    <w:rsid w:val="00F37E52"/>
    <w:rsid w:val="00F75193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5116F1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5116F1"/>
    <w:rPr>
      <w:i/>
      <w:iCs/>
    </w:rPr>
  </w:style>
  <w:style w:type="paragraph" w:styleId="ListParagraph">
    <w:name w:val="List Paragraph"/>
    <w:basedOn w:val="Normal"/>
    <w:uiPriority w:val="99"/>
    <w:qFormat/>
    <w:rsid w:val="005116F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DF49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496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F496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7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768"/>
    <w:rPr>
      <w:rFonts w:cs="Times New Roman"/>
    </w:rPr>
  </w:style>
  <w:style w:type="table" w:styleId="TableGrid">
    <w:name w:val="Table Grid"/>
    <w:basedOn w:val="TableNormal"/>
    <w:uiPriority w:val="99"/>
    <w:rsid w:val="00842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15</Pages>
  <Words>3729</Words>
  <Characters>21260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ITX</cp:lastModifiedBy>
  <cp:revision>19</cp:revision>
  <cp:lastPrinted>2020-11-06T08:54:00Z</cp:lastPrinted>
  <dcterms:created xsi:type="dcterms:W3CDTF">2020-06-09T20:15:00Z</dcterms:created>
  <dcterms:modified xsi:type="dcterms:W3CDTF">2022-04-14T05:50:00Z</dcterms:modified>
</cp:coreProperties>
</file>