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 w:cs="Times New Roman"/>
          <w:b/>
          <w:b/>
          <w:bCs/>
          <w:sz w:val="24"/>
          <w:szCs w:val="24"/>
        </w:rPr>
      </w:pPr>
      <w:r>
        <w:rPr>
          <w:rFonts w:cs="Times New Roman" w:ascii="Liberation Sans" w:hAnsi="Liberation Sans"/>
          <w:b/>
          <w:bCs/>
          <w:sz w:val="24"/>
          <w:szCs w:val="24"/>
        </w:rPr>
        <w:t>Вопросы-ответы по электронной трудовой книжке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Вопросы-ответы 1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1 Вопрос: Можно ли вести трудовую книжку, как раньше, в бумажном формате?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старом, и в новом формате одновременно. Работодатель продолжит вести трудовую на бумаге и в том случае, если работник не подаст заявление до конца 2020 года.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2 Вопрос: Все работники могут сохранить прежний формат трудовой книжки?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3 Вопрос: Что делать с бумажной трудовой после перехода на электронную? Можно выкидывать?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Если человек выбирает электронную трудовую книжку, это не значит, что бумажная трудовая перестает использоваться и теряет свою значимость.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фиксируются только сведения начиная с 2020 года.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4 Вопрос: Как можно будет получить сведения из электронной трудовой книжки?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Сведения из электронной трудовой книжки можно получить через личный кабинет на сайте Пенсионного фонда России и на сайте Портала государственных услуг.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Информацию из электронной трудовой книжки можно будет получить также в бумажном виде, подав заявку: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работодателю (по последнему месту работы);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в территориальном органе Пенсионного фонда России;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 xml:space="preserve">в многофункциональном центре (МФЦ).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2020-08-14T12:04:41Z</dcterms:modified>
  <cp:revision>1</cp:revision>
</cp:coreProperties>
</file>