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Правительство России продлило с 30 июня до 31 октября срок уведомления сотрудников о необходимости выбора между бумажной или электронной трудовой книжкой. Соответствующее постановление подписал премьер-министр РФ Михаил Мишустин. 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Работодатель обязан проинформировать своих сотрудников о том, что до конца года им следует определиться с форматом ведения трудовой книжки: выбрать электронный вариант или же сохранить бумажную версию. Теперь уведомления в письменной форме должны быть вручены работникам до 31 октября включительно.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547370</wp:posOffset>
            </wp:positionH>
            <wp:positionV relativeFrom="paragraph">
              <wp:posOffset>898525</wp:posOffset>
            </wp:positionV>
            <wp:extent cx="5137150" cy="473456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2020-08-26T12:16:26Z</dcterms:modified>
  <cp:revision>1</cp:revision>
</cp:coreProperties>
</file>