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</w:rPr>
        <w:t xml:space="preserve">Налоговые льготы предпенсионерам предоставляются по достижении прежних границ пенсионного возраста. Подробная информация о льготах для граждан предпенсионного возраста на нашем сайте: </w:t>
      </w:r>
      <w:hyperlink r:id="rId2" w:tgtFrame="_blank">
        <w:r>
          <w:rPr>
            <w:rStyle w:val="Style11"/>
            <w:rFonts w:ascii="Liberation Sans" w:hAnsi="Liberation Sans"/>
          </w:rPr>
          <w:t>http://www.pfrf.ru/zakon/#info-2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10300" cy="363029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</w:rPr>
        <w:br/>
      </w: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zakon%2F%23info-2&amp;post=-177414594_5342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2020-12-16T16:57:40Z</dcterms:modified>
  <cp:revision>1</cp:revision>
</cp:coreProperties>
</file>