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lang w:val="ru-RU"/>
        </w:rPr>
        <w:t>Льготы и гарантии людям предпенсионного возраста</w:t>
      </w:r>
    </w:p>
    <w:p>
      <w:pPr>
        <w:pStyle w:val="Normal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С 2019 года для предпенсионеров ввели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Право на большинство предпенсионных льгот возникает за 5 лет до нового пенсионного возраста с учетом переходного периода.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Например, водители общественного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Для тех, у кого пенсионный возраст с 2019 года не поменялся, тоже есть право на предпенсионные льготы за 5 лет до выхода на пенсию. 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>
      <w:pPr>
        <w:pStyle w:val="Normal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2020-10-14T12:28:02Z</dcterms:modified>
  <cp:revision>1</cp:revision>
</cp:coreProperties>
</file>