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pageBreakBefore w:val="false"/>
        <w:numPr>
          <w:ilvl w:val="0"/>
          <w:numId w:val="2"/>
        </w:numPr>
        <w:suppressAutoHyphens w:val="false"/>
        <w:spacing w:lineRule="auto" w:line="240" w:before="0" w:after="0"/>
        <w:ind w:left="432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 о переводе пенсионных накоплений - не позднее 1 декабря</w:t>
      </w:r>
    </w:p>
    <w:p>
      <w:pPr>
        <w:pStyle w:val="Style12"/>
        <w:spacing w:lineRule="auto" w:line="240" w:before="0" w:after="0"/>
        <w:ind w:left="0" w:right="0" w:hanging="0"/>
        <w:rPr>
          <w:rFonts w:ascii="Liberation Sans" w:hAnsi="Liberation Sans"/>
          <w:sz w:val="24"/>
          <w:szCs w:val="24"/>
        </w:rPr>
      </w:pPr>
      <w:bookmarkStart w:id="0" w:name="__DdeLink__319_9625970605"/>
      <w:bookmarkStart w:id="1" w:name="__DdeLink__319_9625970605"/>
      <w:bookmarkEnd w:id="1"/>
      <w:r>
        <w:rPr>
          <w:rFonts w:ascii="Liberation Sans" w:hAnsi="Liberation Sans"/>
          <w:sz w:val="24"/>
          <w:szCs w:val="24"/>
        </w:rPr>
      </w:r>
    </w:p>
    <w:p>
      <w:pPr>
        <w:pStyle w:val="Style12"/>
        <w:spacing w:lineRule="auto" w:line="240" w:before="0" w:after="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Застрахованные лица, у которых формируются средства пенсионных накоплений, вправе передавать их страховщику по обязательному пенсионному страхованию для инвестирования на финансовом рынке.</w:t>
      </w:r>
    </w:p>
    <w:p>
      <w:pPr>
        <w:pStyle w:val="Style12"/>
        <w:spacing w:lineRule="auto" w:line="240" w:before="0" w:after="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Страховщиком может быть Пенсионный фонд Российской Федерации и негосударственный пенсионный фонд, являющийся участником системы гарантирования прав застрахованных лиц в системе обязательного пенсионного страхования. Обязанности страховщика - формировать, назначать и выплачивать накопительную пенсию застрахованному лицу.</w:t>
      </w:r>
    </w:p>
    <w:p>
      <w:pPr>
        <w:pStyle w:val="Style12"/>
        <w:spacing w:lineRule="auto" w:line="240" w:before="0" w:after="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Узнать, где формируются пенсионные накопления, можно на портале Госуслуг и в Личном кабинете гражданина на сайте Пенсионного фонда РФ, запросив выписку из индивидуального лицевого счета. Смена страховщика происходит при переходе из Пенсионного фонда РФ в негосударственный пенсионный фонд и обратно, при переходе из одного негосударственного пенсионного фонда в другой.</w:t>
      </w:r>
    </w:p>
    <w:p>
      <w:pPr>
        <w:pStyle w:val="Style12"/>
        <w:spacing w:lineRule="auto" w:line="240" w:before="0" w:after="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Заявления необходимо направить в Пенсионный фонд не позднее 1 декабря. </w:t>
      </w:r>
    </w:p>
    <w:p>
      <w:pPr>
        <w:pStyle w:val="Style12"/>
        <w:spacing w:lineRule="auto" w:line="240" w:before="0" w:after="0"/>
        <w:ind w:left="0" w:right="0" w:hanging="0"/>
        <w:jc w:val="both"/>
        <w:rPr>
          <w:rFonts w:ascii="Liberation Sans" w:hAnsi="Liberation Sans"/>
          <w:b w:val="false"/>
          <w:b w:val="false"/>
          <w:bCs w:val="false"/>
          <w:sz w:val="24"/>
          <w:szCs w:val="24"/>
        </w:rPr>
      </w:pPr>
      <w:r>
        <w:rPr>
          <w:rFonts w:ascii="Liberation Sans" w:hAnsi="Liberation Sans"/>
          <w:b w:val="false"/>
          <w:bCs w:val="false"/>
          <w:sz w:val="24"/>
          <w:szCs w:val="24"/>
        </w:rPr>
        <w:t>Пользоваться правом на смену страховщика можно ежегодно (досрочный переход). Однако, при смене чаще, чем раз в пять лет, накопления переводятся без учета инвестиционного дохода с даты последней фиксации, а в случае отрицательного результата инвестирования — возможно уменьшение средств пенсионных накоплений.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2020-11-20T11:28:46Z</dcterms:modified>
  <cp:revision>1</cp:revision>
</cp:coreProperties>
</file>