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jc w:val="center"/>
        <w:rPr>
          <w:rFonts w:ascii="Liberation Sans" w:hAnsi="Liberation Sans"/>
        </w:rPr>
      </w:pPr>
      <w:bookmarkStart w:id="0" w:name="__DdeLink__1037_1223697463"/>
      <w:r>
        <w:rPr>
          <w:rFonts w:ascii="Liberation Sans" w:hAnsi="Liberation Sans"/>
        </w:rPr>
        <w:t>Ответственность за незаконное обналичивание материнского капитала</w:t>
      </w:r>
      <w:bookmarkEnd w:id="0"/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Как только государство учредило выплату материнского капитала, у многих российских семей возник вопрос о возможности получения денег на руки. В своем желании получить наличные деньги некоторые люди не останавливаются ни перед чем. Так, широкое распространение получили попытки обналичивания материнского капитала с целью использования данных средств не по назначению.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Предприимчивые родители не осознают, что, пытаясь обойти установки, данные Федеральным Законом об этом виде госпомощи, навлекают на себя опасность быть обманутыми мошенниками или призванными к гражданской или даже к уголовной ответственности.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Строго регламентированы и цели, на которые можно потратить средства из маткапитала. На данный момент существует четыре направления, по которым возможны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>отчисления:</w:t>
        <w:br/>
        <w:t>1. Улучшение жилищных условий: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а)Покупка жилья или погашение связанных с такой покупкой кредитов;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б)Реконструкция имеющегося жилья с целью увеличения его площади;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компенсация средств, израсходованных при строительстве дома;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в)строительство дома своими силами или с привлечением строительной организации;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г)долевое строительство и участие в различных жилищно-строительных кооперативах;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2. Образование детей: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а) оплата проживания в общежитии ВУЗа;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б) оплата самого обучения;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в) внесение оплаты за детский сад.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 На будущую пенсию матери.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4. На компенсацию покупки товаров либо услуг для детей-инвалидов.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Ни на какие другие цели (покупка дачи или авто, отпуск за границей и пр.) расходовать семейный капитал нельзя.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92015" cy="2896235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2020-10-14T11:19:13Z</dcterms:modified>
  <cp:revision>3</cp:revision>
</cp:coreProperties>
</file>