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Как направить средства материнского капитала на улучшение жилищных условий, читайте на сайте ПФР: </w:t>
      </w:r>
      <w:hyperlink r:id="rId2" w:tgtFrame="_blank">
        <w:r>
          <w:rPr>
            <w:rStyle w:val="Style11"/>
          </w:rPr>
          <w:t>https://pfr.gov.ru/grazhdanam/msk/get_paid/</w:t>
        </w:r>
      </w:hyperlink>
      <w:r>
        <w:rPr/>
        <w:t xml:space="preserve">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-35560</wp:posOffset>
            </wp:positionH>
            <wp:positionV relativeFrom="paragraph">
              <wp:posOffset>102870</wp:posOffset>
            </wp:positionV>
            <wp:extent cx="3352800" cy="3352800"/>
            <wp:effectExtent l="0" t="0" r="0" b="0"/>
            <wp:wrapSquare wrapText="largest"/>
            <wp:docPr id="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2355215</wp:posOffset>
            </wp:positionH>
            <wp:positionV relativeFrom="paragraph">
              <wp:posOffset>85725</wp:posOffset>
            </wp:positionV>
            <wp:extent cx="3350260" cy="3348990"/>
            <wp:effectExtent l="0" t="0" r="0" b="0"/>
            <wp:wrapSquare wrapText="largest"/>
            <wp:docPr id="2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msk%2Fget_paid%2F&amp;post=-37475973_4542&amp;cc_key=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2021-02-10T15:33:19Z</dcterms:modified>
  <cp:revision>4</cp:revision>
</cp:coreProperties>
</file>