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Ежемесячные выплаты из средств МСК.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</w:rPr>
        <w:t xml:space="preserve">Кто и как может оформить ежемесячную выплату из материнского капитала, читайте на сайте ПФР: </w:t>
      </w:r>
      <w:hyperlink r:id="rId2" w:tgtFrame="_blank">
        <w:r>
          <w:rPr>
            <w:rStyle w:val="Style11"/>
            <w:sz w:val="28"/>
            <w:szCs w:val="28"/>
          </w:rPr>
          <w:t>http://www.pfrf.ru/knopki/zhizn/~4363</w:t>
        </w:r>
      </w:hyperlink>
      <w:r>
        <w:rPr>
          <w:sz w:val="28"/>
          <w:szCs w:val="28"/>
        </w:rPr>
        <w:t xml:space="preserve">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171450</wp:posOffset>
            </wp:positionH>
            <wp:positionV relativeFrom="paragraph">
              <wp:posOffset>458470</wp:posOffset>
            </wp:positionV>
            <wp:extent cx="3007995" cy="3514725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3235960</wp:posOffset>
            </wp:positionH>
            <wp:positionV relativeFrom="paragraph">
              <wp:posOffset>487045</wp:posOffset>
            </wp:positionV>
            <wp:extent cx="2867660" cy="3486785"/>
            <wp:effectExtent l="0" t="0" r="0" b="0"/>
            <wp:wrapSquare wrapText="largest"/>
            <wp:docPr id="2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knopki%2Fzhizn%2F~4363&amp;post=-73484950_2059&amp;cc_key=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2021-02-02T09:26:01Z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