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i w:val="false"/>
          <w:i w:val="false"/>
          <w:iCs w:val="false"/>
        </w:rPr>
      </w:pPr>
      <w:bookmarkStart w:id="0" w:name="__DdeLink__498_99197636"/>
      <w:bookmarkEnd w:id="0"/>
      <w:r>
        <w:rPr>
          <w:i w:val="false"/>
          <w:iCs w:val="false"/>
        </w:rPr>
        <w:t>Номинальный счет защищает интересы получателя пенсии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12"/>
        <w:jc w:val="both"/>
        <w:rPr>
          <w:i/>
          <w:i/>
          <w:iCs/>
        </w:rPr>
      </w:pPr>
      <w:r>
        <w:rPr>
          <w:i/>
          <w:iCs/>
        </w:rPr>
        <w:t>Если право на пенсию имеет несовершеннолетний гражданин, либо гражданин, достигший 18 лет и признанный недееспособным в порядке, установленном законодательством РФ, доставку пенсии, возможно, производить как на имя самого несовершеннолетнего гражданина, так и на имя его законного представителя (родителя, усыновителя, опекуна, попечителя).</w:t>
      </w:r>
    </w:p>
    <w:p>
      <w:pPr>
        <w:pStyle w:val="Style12"/>
        <w:jc w:val="both"/>
        <w:rPr/>
      </w:pPr>
      <w:r>
        <w:rPr/>
        <w:t>В случае, если законный представитель ребёнка выбирает доставку пенсии на свой счёт в кредитной организации, тогда этот счёт должен быть номинальным.* Такой счет сохраняет средства от списания долгов, т.к. в соответствии с законодательством** не допускается обращение взыскания по долгам должника на денежные средства, находящиеся на номинальном банковском счёте, владельцем которого он является.</w:t>
      </w:r>
    </w:p>
    <w:p>
      <w:pPr>
        <w:pStyle w:val="Style12"/>
        <w:jc w:val="both"/>
        <w:rPr/>
      </w:pPr>
      <w:r>
        <w:rPr/>
        <w:t>После открытия номинального счета необходимо сообщить в Пенсионный фонд его реквизиты. Для этого потребуется подать заявление о доставке пенсии в личном кабинете на сайте ПФР.</w:t>
      </w:r>
    </w:p>
    <w:p>
      <w:pPr>
        <w:pStyle w:val="Style12"/>
        <w:jc w:val="both"/>
        <w:rPr/>
      </w:pPr>
      <w:r>
        <w:rPr/>
        <w:t>* С учётом и положений части 1 статьи 37 Гражданского кодекса РФ и пункта 3 статьи 60 Семейного кодекса РФ</w:t>
      </w:r>
    </w:p>
    <w:p>
      <w:pPr>
        <w:pStyle w:val="Style12"/>
        <w:spacing w:before="0" w:after="140"/>
        <w:jc w:val="both"/>
        <w:rPr/>
      </w:pPr>
      <w:r>
        <w:rPr/>
        <w:t>** часть 2 статья 72.1 Федерального закона №229-ФЗ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2021-06-23T16:45:04Z</dcterms:created>
  <dc:language>ru-RU</dc:language>
  <dcterms:modified xsi:type="dcterms:W3CDTF">2021-06-23T16:45:43Z</dcterms:modified>
  <cp:revision>1</cp:revision>
</cp:coreProperties>
</file>