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Будущим мамочкам и одиноким родителям.</w:t>
      </w:r>
    </w:p>
    <w:p>
      <w:pPr>
        <w:pStyle w:val="Style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определить за какой период брать доход семьи для новых ежемесячных пособий , а также как рассчитать размер среднедушевого дохода.</w:t>
      </w:r>
    </w:p>
    <w:p>
      <w:pPr>
        <w:pStyle w:val="Style14"/>
        <w:pBdr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-288290</wp:posOffset>
            </wp:positionH>
            <wp:positionV relativeFrom="paragraph">
              <wp:posOffset>114300</wp:posOffset>
            </wp:positionV>
            <wp:extent cx="3401060" cy="257048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3350260</wp:posOffset>
            </wp:positionH>
            <wp:positionV relativeFrom="paragraph">
              <wp:posOffset>74295</wp:posOffset>
            </wp:positionV>
            <wp:extent cx="3220085" cy="2572385"/>
            <wp:effectExtent l="0" t="0" r="0" b="0"/>
            <wp:wrapSquare wrapText="largest"/>
            <wp:docPr id="2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rPr/>
      </w:pPr>
      <w:r>
        <w:rPr/>
      </w:r>
    </w:p>
    <w:p>
      <w:pPr>
        <w:pStyle w:val="Style14"/>
        <w:pBdr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2021-07-14T10:12:43Z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