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EE2D35">
        <w:rPr>
          <w:b/>
          <w:i/>
          <w:iCs/>
          <w:sz w:val="28"/>
          <w:szCs w:val="28"/>
        </w:rPr>
        <w:t>3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>
        <w:rPr>
          <w:b/>
          <w:i/>
          <w:iCs/>
          <w:sz w:val="28"/>
          <w:szCs w:val="28"/>
        </w:rPr>
        <w:t>8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330328" w:rsidRPr="00D11A3B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EE2D35">
        <w:rPr>
          <w:iCs/>
          <w:sz w:val="28"/>
          <w:szCs w:val="28"/>
        </w:rPr>
        <w:t>3</w:t>
      </w:r>
      <w:r w:rsidRPr="00D11A3B">
        <w:rPr>
          <w:iCs/>
          <w:sz w:val="28"/>
          <w:szCs w:val="28"/>
        </w:rPr>
        <w:t xml:space="preserve"> квартале 201</w:t>
      </w:r>
      <w:r>
        <w:rPr>
          <w:iCs/>
          <w:sz w:val="28"/>
          <w:szCs w:val="28"/>
        </w:rPr>
        <w:t>8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F21252">
        <w:rPr>
          <w:iCs/>
          <w:sz w:val="28"/>
          <w:szCs w:val="28"/>
        </w:rPr>
        <w:t>185</w:t>
      </w:r>
      <w:r w:rsidRPr="00D11A3B">
        <w:rPr>
          <w:iCs/>
          <w:sz w:val="28"/>
          <w:szCs w:val="28"/>
        </w:rPr>
        <w:t xml:space="preserve"> обращени</w:t>
      </w:r>
      <w:r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EE2D35">
        <w:rPr>
          <w:iCs/>
          <w:sz w:val="28"/>
          <w:szCs w:val="28"/>
        </w:rPr>
        <w:t>июль</w:t>
      </w:r>
      <w:r>
        <w:rPr>
          <w:iCs/>
          <w:sz w:val="28"/>
          <w:szCs w:val="28"/>
        </w:rPr>
        <w:t xml:space="preserve"> – </w:t>
      </w:r>
      <w:r w:rsidR="00F21252">
        <w:rPr>
          <w:iCs/>
          <w:sz w:val="28"/>
          <w:szCs w:val="28"/>
        </w:rPr>
        <w:t>70</w:t>
      </w:r>
      <w:r>
        <w:rPr>
          <w:iCs/>
          <w:sz w:val="28"/>
          <w:szCs w:val="28"/>
        </w:rPr>
        <w:t xml:space="preserve">, </w:t>
      </w:r>
      <w:r w:rsidR="00EE2D35">
        <w:rPr>
          <w:iCs/>
          <w:sz w:val="28"/>
          <w:szCs w:val="28"/>
        </w:rPr>
        <w:t>август</w:t>
      </w:r>
      <w:r>
        <w:rPr>
          <w:iCs/>
          <w:sz w:val="28"/>
          <w:szCs w:val="28"/>
        </w:rPr>
        <w:t xml:space="preserve"> – </w:t>
      </w:r>
      <w:r w:rsidR="00F21252">
        <w:rPr>
          <w:iCs/>
          <w:sz w:val="28"/>
          <w:szCs w:val="28"/>
        </w:rPr>
        <w:t>62</w:t>
      </w:r>
      <w:r>
        <w:rPr>
          <w:iCs/>
          <w:sz w:val="28"/>
          <w:szCs w:val="28"/>
        </w:rPr>
        <w:t xml:space="preserve">, </w:t>
      </w:r>
      <w:r w:rsidR="00EC42B3">
        <w:rPr>
          <w:iCs/>
          <w:sz w:val="28"/>
          <w:szCs w:val="28"/>
        </w:rPr>
        <w:t>сентябрь</w:t>
      </w:r>
      <w:r>
        <w:rPr>
          <w:iCs/>
          <w:sz w:val="28"/>
          <w:szCs w:val="28"/>
        </w:rPr>
        <w:t xml:space="preserve"> - </w:t>
      </w:r>
      <w:r w:rsidR="00F21252">
        <w:rPr>
          <w:iCs/>
          <w:sz w:val="28"/>
          <w:szCs w:val="28"/>
        </w:rPr>
        <w:t>53</w:t>
      </w:r>
      <w:r w:rsidRPr="00D11A3B">
        <w:rPr>
          <w:iCs/>
          <w:sz w:val="28"/>
          <w:szCs w:val="28"/>
        </w:rPr>
        <w:t xml:space="preserve">), что на </w:t>
      </w:r>
      <w:r w:rsidR="00A903EA">
        <w:rPr>
          <w:iCs/>
          <w:sz w:val="28"/>
          <w:szCs w:val="28"/>
        </w:rPr>
        <w:t>80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A903EA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A903EA">
        <w:rPr>
          <w:iCs/>
          <w:sz w:val="28"/>
          <w:szCs w:val="28"/>
        </w:rPr>
        <w:t>меньше</w:t>
      </w:r>
      <w:r w:rsidRPr="00D11A3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>в</w:t>
      </w:r>
      <w:r w:rsidR="00EC42B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 </w:t>
      </w:r>
      <w:r w:rsidR="00EC42B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квартале 2018 года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C03CE2">
        <w:rPr>
          <w:iCs/>
          <w:sz w:val="28"/>
          <w:szCs w:val="28"/>
        </w:rPr>
        <w:t>33</w:t>
      </w:r>
      <w:r w:rsidRPr="0043291A">
        <w:rPr>
          <w:iCs/>
          <w:sz w:val="28"/>
          <w:szCs w:val="28"/>
        </w:rPr>
        <w:t xml:space="preserve">  поступил</w:t>
      </w:r>
      <w:r w:rsidR="00022906"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330328" w:rsidRPr="00544D55" w:rsidTr="00B651EE">
        <w:trPr>
          <w:trHeight w:val="375"/>
        </w:trPr>
        <w:tc>
          <w:tcPr>
            <w:tcW w:w="7954" w:type="dxa"/>
          </w:tcPr>
          <w:p w:rsidR="00330328" w:rsidRPr="006832D2" w:rsidRDefault="00330328" w:rsidP="00B651EE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330328" w:rsidRPr="00C03CE2" w:rsidRDefault="00330328" w:rsidP="00C03CE2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022906" w:rsidRPr="00C03CE2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330328" w:rsidRPr="00544D55" w:rsidTr="00C03CE2">
        <w:trPr>
          <w:trHeight w:val="737"/>
        </w:trPr>
        <w:tc>
          <w:tcPr>
            <w:tcW w:w="7954" w:type="dxa"/>
          </w:tcPr>
          <w:p w:rsidR="00022906" w:rsidRDefault="00330328" w:rsidP="00B651EE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330328" w:rsidRPr="006832D2" w:rsidRDefault="00330328" w:rsidP="00C03CE2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832D2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6832D2">
              <w:rPr>
                <w:iCs/>
                <w:sz w:val="28"/>
                <w:szCs w:val="28"/>
                <w:lang w:eastAsia="en-US"/>
              </w:rPr>
              <w:t>.</w:t>
            </w:r>
            <w:r w:rsidR="00022906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6832D2">
              <w:rPr>
                <w:iCs/>
                <w:sz w:val="28"/>
                <w:szCs w:val="28"/>
                <w:lang w:eastAsia="en-US"/>
              </w:rPr>
              <w:t xml:space="preserve">обращения направленные Президенту РФ   </w:t>
            </w:r>
          </w:p>
        </w:tc>
        <w:tc>
          <w:tcPr>
            <w:tcW w:w="2360" w:type="dxa"/>
          </w:tcPr>
          <w:p w:rsidR="00330328" w:rsidRPr="00C03CE2" w:rsidRDefault="00330328" w:rsidP="00B651E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17</w:t>
            </w:r>
          </w:p>
          <w:p w:rsidR="00022906" w:rsidRPr="00C03CE2" w:rsidRDefault="00330328" w:rsidP="00C03CE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</w:t>
            </w:r>
            <w:r w:rsidR="00022906" w:rsidRPr="00C03CE2"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330328" w:rsidRPr="00544D55" w:rsidTr="00B651EE">
        <w:trPr>
          <w:trHeight w:val="360"/>
        </w:trPr>
        <w:tc>
          <w:tcPr>
            <w:tcW w:w="7954" w:type="dxa"/>
          </w:tcPr>
          <w:p w:rsidR="00330328" w:rsidRPr="006832D2" w:rsidRDefault="00330328" w:rsidP="00B651EE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Министерство ЖКХ</w:t>
            </w:r>
            <w:r w:rsidRPr="00AC3CA5">
              <w:rPr>
                <w:color w:val="000000"/>
                <w:sz w:val="28"/>
                <w:szCs w:val="28"/>
              </w:rPr>
              <w:t>, энергетики и гражданской защиты 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C3CA5">
              <w:rPr>
                <w:color w:val="000000"/>
                <w:sz w:val="28"/>
                <w:szCs w:val="28"/>
              </w:rPr>
              <w:t>селения РМ</w:t>
            </w:r>
          </w:p>
        </w:tc>
        <w:tc>
          <w:tcPr>
            <w:tcW w:w="2360" w:type="dxa"/>
          </w:tcPr>
          <w:p w:rsidR="00330328" w:rsidRPr="00EC42B3" w:rsidRDefault="00C03CE2" w:rsidP="00C03CE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022906" w:rsidRDefault="005B4B89" w:rsidP="005B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Депутата  ГД РФ В.Б. Ефимова</w:t>
            </w:r>
          </w:p>
        </w:tc>
        <w:tc>
          <w:tcPr>
            <w:tcW w:w="2360" w:type="dxa"/>
          </w:tcPr>
          <w:p w:rsidR="00022906" w:rsidRPr="005B4B89" w:rsidRDefault="00022906" w:rsidP="008B1DD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B4B89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096CAD" w:rsidRDefault="00096CAD" w:rsidP="008B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CAD">
              <w:rPr>
                <w:rFonts w:ascii="Times New Roman" w:hAnsi="Times New Roman"/>
                <w:iCs/>
                <w:sz w:val="28"/>
                <w:szCs w:val="28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2360" w:type="dxa"/>
          </w:tcPr>
          <w:p w:rsidR="00022906" w:rsidRPr="005B4B89" w:rsidRDefault="005B4B89" w:rsidP="005B4B89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B4B89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6832D2" w:rsidRDefault="00022906" w:rsidP="008B1DD0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6832D2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832D2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22906" w:rsidRPr="00EC42B3" w:rsidRDefault="00C03CE2" w:rsidP="00C03CE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</w:tbl>
    <w:p w:rsidR="00330328" w:rsidRPr="003331CD" w:rsidRDefault="00330328" w:rsidP="00330328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330328" w:rsidRPr="00544D55" w:rsidTr="00B651EE">
        <w:trPr>
          <w:trHeight w:val="855"/>
        </w:trPr>
        <w:tc>
          <w:tcPr>
            <w:tcW w:w="10348" w:type="dxa"/>
            <w:gridSpan w:val="5"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30328" w:rsidRPr="00544D55" w:rsidTr="00B651E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B651E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EC4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C4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EC4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C4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</w:tr>
      <w:tr w:rsidR="00EC42B3" w:rsidRPr="00FC0C48" w:rsidTr="00B651E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C42B3" w:rsidRPr="00FC0C48" w:rsidTr="00B651E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C42B3" w:rsidRPr="00FC0C48" w:rsidTr="00A079F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C42B3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B36AD9" w:rsidP="00B36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</w:tr>
      <w:tr w:rsidR="00EC42B3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DC2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DC29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DC2910" w:rsidP="00DC2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DC2910" w:rsidP="00DC2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EC42B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DC2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  <w:r w:rsidR="00DC29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DC2910" w:rsidP="00DC2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EC42B3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C42B3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DC2910" w:rsidP="00DC2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</w:tr>
      <w:tr w:rsidR="00EC42B3" w:rsidRPr="00544D55" w:rsidTr="00B651E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2B3" w:rsidRPr="00505AE1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3A69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FC0C48" w:rsidRDefault="00EC42B3" w:rsidP="004F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FC0C48" w:rsidRDefault="00DC2910" w:rsidP="00DC2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</w:tbl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 в </w:t>
      </w:r>
      <w:r w:rsidR="00EC42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2018 г.</w:t>
      </w:r>
      <w:bookmarkStart w:id="0" w:name="_GoBack"/>
      <w:bookmarkEnd w:id="0"/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330328" w:rsidRPr="00544D55" w:rsidTr="00B651E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EC42B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C4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EC42B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C4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C2624E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B3" w:rsidRPr="00544D55" w:rsidTr="00B651E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EC42B3" w:rsidRPr="00544D55" w:rsidTr="00B651E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EC42B3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0A35D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C42B3" w:rsidRPr="00544D55" w:rsidTr="00B651E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C42B3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EC42B3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0A35D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C42B3" w:rsidRPr="00544D55" w:rsidTr="00B651E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29157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C42B3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EC42B3" w:rsidRPr="00544D55" w:rsidTr="00B651E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EC42B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C42B3" w:rsidRPr="00544D55" w:rsidTr="00B651E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C42B3" w:rsidRPr="00544D55" w:rsidTr="00B651E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0CC2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8D5C3A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EC42B3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8D5C3A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EC42B3" w:rsidRPr="00544D55" w:rsidTr="00B651E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C42B3" w:rsidRPr="00544D55" w:rsidTr="00B651E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</w:tr>
      <w:tr w:rsidR="00EC42B3" w:rsidRPr="00544D55" w:rsidTr="00B651E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680EDD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144*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EC42B3" w:rsidRPr="00544D55" w:rsidTr="00B651E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</w:tr>
      <w:tr w:rsidR="00EC42B3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B3" w:rsidRPr="00D11A3B" w:rsidRDefault="00EC42B3" w:rsidP="00756FC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присвоении имени Героя Советского Союза образовательному учреждению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EC42B3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756FC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строительстве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91573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73" w:rsidRPr="00D11A3B" w:rsidRDefault="0029157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73" w:rsidRPr="00D11A3B" w:rsidRDefault="0029157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ремонте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73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A35D4" w:rsidRDefault="000A35D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73" w:rsidRDefault="0029157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573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  <w:r w:rsidR="0029157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(ограждение)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EC42B3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42B3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0A35D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  <w:tr w:rsidR="00EC42B3" w:rsidRPr="00544D55" w:rsidTr="00B651E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D11A3B" w:rsidRDefault="00EC42B3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291573" w:rsidP="00B651E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C70B4" w:rsidRDefault="00EC42B3" w:rsidP="004F73B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2B3" w:rsidRPr="00C87B5E" w:rsidRDefault="000A35D4" w:rsidP="000A35D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</w:tbl>
    <w:p w:rsidR="00576880" w:rsidRPr="00B835D3" w:rsidRDefault="00330328" w:rsidP="00576880">
      <w:pPr>
        <w:jc w:val="both"/>
        <w:rPr>
          <w:rFonts w:ascii="Times New Roman" w:hAnsi="Times New Roman"/>
          <w:sz w:val="16"/>
          <w:szCs w:val="16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  <w:r w:rsidRPr="0057688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 </w:t>
      </w:r>
      <w:proofErr w:type="gramStart"/>
      <w:r w:rsidR="00576880">
        <w:rPr>
          <w:rFonts w:ascii="Times New Roman" w:hAnsi="Times New Roman"/>
          <w:iCs/>
          <w:sz w:val="24"/>
          <w:szCs w:val="24"/>
          <w:shd w:val="clear" w:color="auto" w:fill="FFFFFF"/>
        </w:rPr>
        <w:t>*</w:t>
      </w:r>
      <w:r w:rsidR="00576880" w:rsidRPr="00B835D3">
        <w:rPr>
          <w:rFonts w:ascii="Times New Roman" w:hAnsi="Times New Roman"/>
          <w:sz w:val="16"/>
          <w:szCs w:val="16"/>
        </w:rPr>
        <w:t>В связи с выполнением программы по временному трудоустройству несовершеннолетних граждан в возрасте от 14 до 18 лет в администрацию Ковылкинского муниципального района поступило большое количество   обращений от несовершеннолетних и их родителей с просьбой о выдаче разрешения на заключение трудового договора для выполнения в свободное от получения образования время легкого труда, не причиняющего вреда здоровью и без ущерба для освоения образовательной</w:t>
      </w:r>
      <w:proofErr w:type="gramEnd"/>
      <w:r w:rsidR="00576880" w:rsidRPr="00B835D3">
        <w:rPr>
          <w:rFonts w:ascii="Times New Roman" w:hAnsi="Times New Roman"/>
          <w:sz w:val="16"/>
          <w:szCs w:val="16"/>
        </w:rPr>
        <w:t xml:space="preserve"> программы.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</w:p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CB4A58" w:rsidRDefault="006A4951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         </w:t>
      </w:r>
      <w:r w:rsidR="009079AD">
        <w:rPr>
          <w:rFonts w:ascii="Times New Roman" w:hAnsi="Times New Roman"/>
          <w:iCs/>
          <w:sz w:val="28"/>
          <w:szCs w:val="28"/>
          <w:shd w:val="clear" w:color="auto" w:fill="FFFFFF"/>
        </w:rPr>
        <w:t>Количество поступивших обращений за 9 месяцев 2018 года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1161AA">
        <w:rPr>
          <w:rFonts w:ascii="Times New Roman" w:hAnsi="Times New Roman"/>
          <w:iCs/>
          <w:sz w:val="28"/>
          <w:szCs w:val="28"/>
          <w:shd w:val="clear" w:color="auto" w:fill="FFFFFF"/>
        </w:rPr>
        <w:t>по месяцам</w:t>
      </w:r>
    </w:p>
    <w:p w:rsidR="001161AA" w:rsidRDefault="001161AA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CB4A58" w:rsidRDefault="001161AA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3D515F" wp14:editId="306779B0">
            <wp:extent cx="6722669" cy="3884371"/>
            <wp:effectExtent l="19050" t="19050" r="40640" b="400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4A58" w:rsidRDefault="00CB4A5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A4951" w:rsidRDefault="006A4951" w:rsidP="006A4951">
      <w:pPr>
        <w:keepNext/>
        <w:spacing w:after="0"/>
        <w:ind w:left="426" w:hanging="426"/>
        <w:jc w:val="both"/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684182">
      <w:pPr>
        <w:keepNext/>
        <w:ind w:left="426"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За </w:t>
      </w:r>
      <w:r w:rsidR="00237C8E">
        <w:rPr>
          <w:rFonts w:ascii="Times New Roman" w:hAnsi="Times New Roman"/>
          <w:noProof/>
          <w:sz w:val="28"/>
          <w:szCs w:val="28"/>
          <w:lang w:eastAsia="ru-RU"/>
        </w:rPr>
        <w:t xml:space="preserve">9 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месяцев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 xml:space="preserve"> 2018 года  в администрацию Ковылкинского  муниципального района поступило 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661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 xml:space="preserve"> обращени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 xml:space="preserve">, что на 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47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 xml:space="preserve"> обращени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меньше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 xml:space="preserve">, чем за 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аналогичный период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 xml:space="preserve">  2017 года  (</w:t>
      </w:r>
      <w:r w:rsidR="00237C8E" w:rsidRPr="00237C8E">
        <w:rPr>
          <w:rFonts w:ascii="Times New Roman" w:hAnsi="Times New Roman"/>
          <w:noProof/>
          <w:sz w:val="28"/>
          <w:szCs w:val="28"/>
          <w:lang w:eastAsia="ru-RU"/>
        </w:rPr>
        <w:t>708</w:t>
      </w:r>
      <w:r w:rsidRPr="00237C8E">
        <w:rPr>
          <w:rFonts w:ascii="Times New Roman" w:hAnsi="Times New Roman"/>
          <w:noProof/>
          <w:sz w:val="28"/>
          <w:szCs w:val="28"/>
          <w:lang w:eastAsia="ru-RU"/>
        </w:rPr>
        <w:t>).</w:t>
      </w: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684182">
      <w:pPr>
        <w:keepNext/>
        <w:rPr>
          <w:noProof/>
          <w:lang w:eastAsia="ru-RU"/>
        </w:rPr>
      </w:pPr>
    </w:p>
    <w:p w:rsidR="00684182" w:rsidRDefault="00684182" w:rsidP="00684182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54115" cy="297624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5F2AD6"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2018 года на личном приеме  главой Ковылкинского  муниципального   района и его заместителями было принято –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F2AD6">
        <w:rPr>
          <w:rFonts w:ascii="Times New Roman" w:hAnsi="Times New Roman"/>
          <w:iCs/>
          <w:sz w:val="28"/>
          <w:szCs w:val="28"/>
          <w:shd w:val="clear" w:color="auto" w:fill="FFFFFF"/>
        </w:rPr>
        <w:t>25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 xml:space="preserve">В </w:t>
      </w:r>
      <w:r w:rsidR="005F2AD6">
        <w:rPr>
          <w:rFonts w:ascii="Times New Roman" w:hAnsi="Times New Roman"/>
          <w:sz w:val="28"/>
          <w:szCs w:val="28"/>
        </w:rPr>
        <w:t>3</w:t>
      </w:r>
      <w:r w:rsidRPr="00EA7ED4">
        <w:rPr>
          <w:rFonts w:ascii="Times New Roman" w:hAnsi="Times New Roman"/>
          <w:sz w:val="28"/>
          <w:szCs w:val="28"/>
        </w:rPr>
        <w:t xml:space="preserve"> квартале  201</w:t>
      </w:r>
      <w:r>
        <w:rPr>
          <w:rFonts w:ascii="Times New Roman" w:hAnsi="Times New Roman"/>
          <w:sz w:val="28"/>
          <w:szCs w:val="28"/>
        </w:rPr>
        <w:t>8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Pr="00F21252">
        <w:rPr>
          <w:rFonts w:ascii="Times New Roman" w:hAnsi="Times New Roman"/>
          <w:sz w:val="28"/>
          <w:szCs w:val="28"/>
        </w:rPr>
        <w:t xml:space="preserve">обратилось </w:t>
      </w:r>
      <w:r w:rsidR="00D24829">
        <w:rPr>
          <w:rFonts w:ascii="Times New Roman" w:hAnsi="Times New Roman"/>
          <w:sz w:val="28"/>
          <w:szCs w:val="28"/>
        </w:rPr>
        <w:t>8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9B761C" w:rsidRPr="00F21252">
        <w:rPr>
          <w:rFonts w:ascii="Times New Roman" w:hAnsi="Times New Roman"/>
          <w:sz w:val="28"/>
          <w:szCs w:val="28"/>
        </w:rPr>
        <w:t>заявителей</w:t>
      </w:r>
      <w:r w:rsidRPr="00F21252">
        <w:rPr>
          <w:rFonts w:ascii="Times New Roman" w:hAnsi="Times New Roman"/>
          <w:sz w:val="28"/>
          <w:szCs w:val="28"/>
        </w:rPr>
        <w:t>.</w:t>
      </w:r>
    </w:p>
    <w:p w:rsidR="00330328" w:rsidRDefault="00330328" w:rsidP="00330328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>коррупционных  проявлений  за 3</w:t>
      </w:r>
      <w:r>
        <w:rPr>
          <w:rFonts w:ascii="Times New Roman" w:hAnsi="Times New Roman"/>
          <w:color w:val="000000"/>
          <w:sz w:val="28"/>
          <w:szCs w:val="28"/>
        </w:rPr>
        <w:t xml:space="preserve">  квартал 2018 года  в администрацию Ковылкинского муниципального района  не поступало.</w:t>
      </w:r>
    </w:p>
    <w:p w:rsidR="00330328" w:rsidRPr="005B3510" w:rsidRDefault="00330328" w:rsidP="0033032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DC5466" w:rsidRDefault="00DC5466"/>
    <w:sectPr w:rsidR="00DC5466" w:rsidSect="00B835D3">
      <w:pgSz w:w="11909" w:h="16834"/>
      <w:pgMar w:top="533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7456"/>
    <w:rsid w:val="00012BF5"/>
    <w:rsid w:val="000218BE"/>
    <w:rsid w:val="00021DF1"/>
    <w:rsid w:val="00022906"/>
    <w:rsid w:val="00022A7D"/>
    <w:rsid w:val="0004564A"/>
    <w:rsid w:val="00054F1A"/>
    <w:rsid w:val="00066DCC"/>
    <w:rsid w:val="00096CAD"/>
    <w:rsid w:val="000A35D4"/>
    <w:rsid w:val="000B6EC8"/>
    <w:rsid w:val="000F0CF2"/>
    <w:rsid w:val="0011429D"/>
    <w:rsid w:val="00114A5E"/>
    <w:rsid w:val="001161AA"/>
    <w:rsid w:val="0011659E"/>
    <w:rsid w:val="00117B0B"/>
    <w:rsid w:val="00136B92"/>
    <w:rsid w:val="0014143B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CDD"/>
    <w:rsid w:val="00222E04"/>
    <w:rsid w:val="00233A18"/>
    <w:rsid w:val="00233F1E"/>
    <w:rsid w:val="00237C8E"/>
    <w:rsid w:val="00240A55"/>
    <w:rsid w:val="00245C3A"/>
    <w:rsid w:val="002471A3"/>
    <w:rsid w:val="0025591C"/>
    <w:rsid w:val="002649A7"/>
    <w:rsid w:val="00271A8F"/>
    <w:rsid w:val="00290FCC"/>
    <w:rsid w:val="002913E4"/>
    <w:rsid w:val="00291573"/>
    <w:rsid w:val="002A0023"/>
    <w:rsid w:val="002C135B"/>
    <w:rsid w:val="002D3DB8"/>
    <w:rsid w:val="002D46B3"/>
    <w:rsid w:val="002F7CC8"/>
    <w:rsid w:val="0032617D"/>
    <w:rsid w:val="00330328"/>
    <w:rsid w:val="00331750"/>
    <w:rsid w:val="003704B1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E4FC6"/>
    <w:rsid w:val="003E61A6"/>
    <w:rsid w:val="003F3489"/>
    <w:rsid w:val="00404D54"/>
    <w:rsid w:val="004279F2"/>
    <w:rsid w:val="00431EDE"/>
    <w:rsid w:val="0045222C"/>
    <w:rsid w:val="0046463B"/>
    <w:rsid w:val="00466728"/>
    <w:rsid w:val="004729FF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76880"/>
    <w:rsid w:val="00584ED4"/>
    <w:rsid w:val="00586F60"/>
    <w:rsid w:val="005A2AD3"/>
    <w:rsid w:val="005A2C56"/>
    <w:rsid w:val="005A7D38"/>
    <w:rsid w:val="005B4B89"/>
    <w:rsid w:val="005C19F0"/>
    <w:rsid w:val="005D147B"/>
    <w:rsid w:val="005D3C3E"/>
    <w:rsid w:val="005F2AD6"/>
    <w:rsid w:val="005F37B1"/>
    <w:rsid w:val="00606456"/>
    <w:rsid w:val="00610501"/>
    <w:rsid w:val="006119A8"/>
    <w:rsid w:val="006256CE"/>
    <w:rsid w:val="00635166"/>
    <w:rsid w:val="00637B9B"/>
    <w:rsid w:val="00684182"/>
    <w:rsid w:val="00687A3C"/>
    <w:rsid w:val="00691B25"/>
    <w:rsid w:val="00692087"/>
    <w:rsid w:val="006A2E5A"/>
    <w:rsid w:val="006A4951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444E7"/>
    <w:rsid w:val="00753D75"/>
    <w:rsid w:val="00754C18"/>
    <w:rsid w:val="00756FCB"/>
    <w:rsid w:val="007610E6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7783A"/>
    <w:rsid w:val="008813E6"/>
    <w:rsid w:val="008843C7"/>
    <w:rsid w:val="008A6EE7"/>
    <w:rsid w:val="008B1D11"/>
    <w:rsid w:val="008B1DD0"/>
    <w:rsid w:val="008B79E8"/>
    <w:rsid w:val="008C1E07"/>
    <w:rsid w:val="008C5C98"/>
    <w:rsid w:val="008D1164"/>
    <w:rsid w:val="008D5C3A"/>
    <w:rsid w:val="008E12A4"/>
    <w:rsid w:val="008F5F0C"/>
    <w:rsid w:val="009079AD"/>
    <w:rsid w:val="00920D1D"/>
    <w:rsid w:val="009309FA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48C5"/>
    <w:rsid w:val="009B761C"/>
    <w:rsid w:val="009C63FC"/>
    <w:rsid w:val="009D2892"/>
    <w:rsid w:val="009E535A"/>
    <w:rsid w:val="009F0251"/>
    <w:rsid w:val="009F64D1"/>
    <w:rsid w:val="00A0256D"/>
    <w:rsid w:val="00A079FB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03EA"/>
    <w:rsid w:val="00A91359"/>
    <w:rsid w:val="00AB75E3"/>
    <w:rsid w:val="00AC22FF"/>
    <w:rsid w:val="00AC323F"/>
    <w:rsid w:val="00B1264D"/>
    <w:rsid w:val="00B26104"/>
    <w:rsid w:val="00B35821"/>
    <w:rsid w:val="00B36AD9"/>
    <w:rsid w:val="00B36AE2"/>
    <w:rsid w:val="00B431DE"/>
    <w:rsid w:val="00B71B78"/>
    <w:rsid w:val="00B7460A"/>
    <w:rsid w:val="00B835D3"/>
    <w:rsid w:val="00BB1D9E"/>
    <w:rsid w:val="00BB5262"/>
    <w:rsid w:val="00BF3AAD"/>
    <w:rsid w:val="00C03CE2"/>
    <w:rsid w:val="00C03EF9"/>
    <w:rsid w:val="00C0424C"/>
    <w:rsid w:val="00C17315"/>
    <w:rsid w:val="00C2624E"/>
    <w:rsid w:val="00C30CED"/>
    <w:rsid w:val="00C466B5"/>
    <w:rsid w:val="00C46B76"/>
    <w:rsid w:val="00C5264D"/>
    <w:rsid w:val="00C53195"/>
    <w:rsid w:val="00C55E83"/>
    <w:rsid w:val="00C71CFF"/>
    <w:rsid w:val="00C73EAE"/>
    <w:rsid w:val="00C75776"/>
    <w:rsid w:val="00C850DE"/>
    <w:rsid w:val="00CA5915"/>
    <w:rsid w:val="00CA6B39"/>
    <w:rsid w:val="00CA6C3D"/>
    <w:rsid w:val="00CB41DB"/>
    <w:rsid w:val="00CB4A58"/>
    <w:rsid w:val="00CC7FDF"/>
    <w:rsid w:val="00CE130F"/>
    <w:rsid w:val="00CE2E62"/>
    <w:rsid w:val="00CF02DA"/>
    <w:rsid w:val="00CF2A21"/>
    <w:rsid w:val="00D0361E"/>
    <w:rsid w:val="00D03E7E"/>
    <w:rsid w:val="00D06239"/>
    <w:rsid w:val="00D07659"/>
    <w:rsid w:val="00D1041B"/>
    <w:rsid w:val="00D21465"/>
    <w:rsid w:val="00D23891"/>
    <w:rsid w:val="00D2463D"/>
    <w:rsid w:val="00D24829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21C5"/>
    <w:rsid w:val="00EA458D"/>
    <w:rsid w:val="00EB64D4"/>
    <w:rsid w:val="00EC1CE1"/>
    <w:rsid w:val="00EC42B3"/>
    <w:rsid w:val="00EC479E"/>
    <w:rsid w:val="00ED36B9"/>
    <w:rsid w:val="00EE2D35"/>
    <w:rsid w:val="00F10DB3"/>
    <w:rsid w:val="00F15991"/>
    <w:rsid w:val="00F21252"/>
    <w:rsid w:val="00F348BE"/>
    <w:rsid w:val="00F377EC"/>
    <w:rsid w:val="00F57977"/>
    <w:rsid w:val="00F77409"/>
    <w:rsid w:val="00F83538"/>
    <w:rsid w:val="00F87C5F"/>
    <w:rsid w:val="00FA2186"/>
    <w:rsid w:val="00FB58D8"/>
    <w:rsid w:val="00FC5114"/>
    <w:rsid w:val="00FC668E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Анализ рассмотрения обращений граждан за 3 квартал</a:t>
            </a:r>
          </a:p>
          <a:p>
            <a:pPr>
              <a:defRPr/>
            </a:pPr>
            <a:r>
              <a:rPr lang="ru-RU" sz="1200" baseline="0"/>
              <a:t> 2018 года</a:t>
            </a:r>
          </a:p>
        </c:rich>
      </c:tx>
      <c:layout>
        <c:manualLayout>
          <c:xMode val="edge"/>
          <c:yMode val="edge"/>
          <c:x val="0.19851851851851851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Lbls>
            <c:dLbl>
              <c:idx val="0"/>
              <c:layout>
                <c:manualLayout>
                  <c:x val="6.2873651210265382E-3"/>
                  <c:y val="-0.243396137982752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38721201516477E-2"/>
                  <c:y val="-1.282964629421322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Переадресовано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142</c:v>
                </c:pt>
                <c:pt idx="1">
                  <c:v>39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49000">
              <a:srgbClr val="C4D2ED">
                <a:lumMod val="65000"/>
                <a:lumOff val="35000"/>
                <a:alpha val="55000"/>
              </a:srgbClr>
            </a:gs>
            <a:gs pos="0">
              <a:schemeClr val="accent1">
                <a:tint val="66000"/>
                <a:satMod val="160000"/>
                <a:alpha val="99000"/>
                <a:lumMod val="63000"/>
              </a:schemeClr>
            </a:gs>
            <a:gs pos="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1"/>
        </a:gradFill>
        <a:ln>
          <a:solidFill>
            <a:srgbClr val="000000"/>
          </a:solidFill>
        </a:ln>
        <a:scene3d>
          <a:camera prst="orthographicFront"/>
          <a:lightRig rig="threePt" dir="t"/>
        </a:scene3d>
        <a:sp3d>
          <a:bevelT/>
        </a:sp3d>
      </c:spPr>
    </c:sideWall>
    <c:backWall>
      <c:thickness val="0"/>
      <c:spPr>
        <a:gradFill>
          <a:gsLst>
            <a:gs pos="49000">
              <a:srgbClr val="C4D2ED">
                <a:lumMod val="65000"/>
                <a:lumOff val="35000"/>
                <a:alpha val="55000"/>
              </a:srgbClr>
            </a:gs>
            <a:gs pos="0">
              <a:schemeClr val="accent1">
                <a:tint val="66000"/>
                <a:satMod val="160000"/>
                <a:alpha val="99000"/>
                <a:lumMod val="63000"/>
              </a:schemeClr>
            </a:gs>
            <a:gs pos="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1"/>
        </a:gradFill>
        <a:ln>
          <a:solidFill>
            <a:srgbClr val="000000"/>
          </a:solidFill>
        </a:ln>
        <a:scene3d>
          <a:camera prst="orthographicFront"/>
          <a:lightRig rig="threePt" dir="t"/>
        </a:scene3d>
        <a:sp3d>
          <a:bevelT/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0"/>
            <c:invertIfNegative val="0"/>
            <c:bubble3D val="0"/>
            <c:spPr>
              <a:ln>
                <a:solidFill>
                  <a:srgbClr val="0070C0"/>
                </a:solidFill>
              </a:ln>
              <a:effectLst>
                <a:outerShdw blurRad="50800" dist="50800" dir="5400000" algn="ctr" rotWithShape="0">
                  <a:srgbClr val="92D050"/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77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129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>
              <a:outerShdw blurRad="50800" dist="50800" dir="5400000" sx="1000" sy="1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165100" prst="coolSlant"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2">
                  <c:v>70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Lbls>
            <c:dLbl>
              <c:idx val="2"/>
              <c:layout>
                <c:manualLayout>
                  <c:x val="1.53808307313843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2">
                  <c:v>62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Lbls>
            <c:dLbl>
              <c:idx val="2"/>
              <c:layout>
                <c:manualLayout>
                  <c:x val="3.0761661462768475E-2"/>
                  <c:y val="3.9727935589442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90"/>
        <c:shape val="cylinder"/>
        <c:axId val="188808576"/>
        <c:axId val="184956032"/>
        <c:axId val="0"/>
      </c:bar3DChart>
      <c:catAx>
        <c:axId val="18880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56032"/>
        <c:crosses val="autoZero"/>
        <c:auto val="1"/>
        <c:lblAlgn val="ctr"/>
        <c:lblOffset val="100"/>
        <c:noMultiLvlLbl val="0"/>
      </c:catAx>
      <c:valAx>
        <c:axId val="184956032"/>
        <c:scaling>
          <c:orientation val="minMax"/>
        </c:scaling>
        <c:delete val="0"/>
        <c:axPos val="l"/>
        <c:majorGridlines>
          <c:spPr>
            <a:effectLst>
              <a:outerShdw dist="1257300" dir="960000" sx="112000" sy="112000" algn="ctr" rotWithShape="0">
                <a:srgbClr val="000000">
                  <a:alpha val="43137"/>
                </a:srgbClr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188808576"/>
        <c:crosses val="autoZero"/>
        <c:crossBetween val="between"/>
        <c:majorUnit val="10"/>
      </c:valAx>
      <c:spPr>
        <a:scene3d>
          <a:camera prst="orthographicFront"/>
          <a:lightRig rig="threePt" dir="t"/>
        </a:scene3d>
        <a:sp3d prstMaterial="plastic"/>
      </c:spPr>
    </c:plotArea>
    <c:legend>
      <c:legendPos val="r"/>
      <c:overlay val="0"/>
    </c:legend>
    <c:plotVisOnly val="1"/>
    <c:dispBlanksAs val="gap"/>
    <c:showDLblsOverMax val="0"/>
  </c:chart>
  <c:spPr>
    <a:ln w="47625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67492260061917E-2"/>
          <c:y val="3.9735099337748346E-2"/>
          <c:w val="0.84520123839009287"/>
          <c:h val="0.748344370860927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  <a:contourClr>
                <a:srgbClr val="000000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00FF"/>
              </a:solidFill>
              <a:ln w="12712">
                <a:solidFill>
                  <a:srgbClr val="000000"/>
                </a:solidFill>
                <a:prstDash val="solid"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rgbClr val="99CC00"/>
              </a:solidFill>
              <a:ln w="12712">
                <a:solidFill>
                  <a:srgbClr val="000000"/>
                </a:solidFill>
                <a:prstDash val="solid"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8.1226052904702813E-3"/>
                  <c:y val="-5.1207733039706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83907935705422E-2"/>
                  <c:y val="-2.9871177606495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1">
                  <c:v>9 месяцев 2017 г.</c:v>
                </c:pt>
                <c:pt idx="3">
                  <c:v>9 месяцев 2018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708</c:v>
                </c:pt>
                <c:pt idx="3">
                  <c:v>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85002240"/>
        <c:axId val="185004032"/>
        <c:axId val="0"/>
      </c:bar3DChart>
      <c:catAx>
        <c:axId val="185002240"/>
        <c:scaling>
          <c:orientation val="minMax"/>
        </c:scaling>
        <c:delete val="0"/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00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004032"/>
        <c:scaling>
          <c:orientation val="minMax"/>
          <c:max val="7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002240"/>
        <c:crosses val="autoZero"/>
        <c:crossBetween val="between"/>
        <c:minorUnit val="3"/>
      </c:valAx>
      <c:spPr>
        <a:noFill/>
        <a:ln w="2542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D4CA-8FEA-47D7-AAC9-B3008223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2018-10-16T07:37:00Z</dcterms:created>
  <dcterms:modified xsi:type="dcterms:W3CDTF">2018-10-29T07:06:00Z</dcterms:modified>
</cp:coreProperties>
</file>